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DF" w:rsidRPr="009304CA" w:rsidRDefault="006C6F3B" w:rsidP="00BC4767">
      <w:pPr>
        <w:rPr>
          <w:b/>
          <w:sz w:val="32"/>
          <w:szCs w:val="32"/>
        </w:rPr>
      </w:pPr>
      <w:r w:rsidRPr="006C6F3B">
        <w:rPr>
          <w:noProof/>
          <w:sz w:val="32"/>
          <w:szCs w:val="32"/>
          <w:lang w:eastAsia="en-N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0pt;margin-top:27pt;width:264pt;height:27pt;z-index:1">
            <v:textbox style="mso-next-textbox:#_x0000_s1026">
              <w:txbxContent>
                <w:p w:rsidR="008E2A1C" w:rsidRDefault="008E2A1C"/>
              </w:txbxContent>
            </v:textbox>
          </v:shape>
        </w:pict>
      </w:r>
      <w:r w:rsidR="00D001C1">
        <w:rPr>
          <w:b/>
          <w:sz w:val="32"/>
          <w:szCs w:val="32"/>
        </w:rPr>
        <w:t xml:space="preserve">MONTHLY </w:t>
      </w:r>
      <w:r w:rsidR="008E2A1C">
        <w:rPr>
          <w:b/>
          <w:sz w:val="32"/>
          <w:szCs w:val="32"/>
        </w:rPr>
        <w:t>RETURN</w:t>
      </w:r>
      <w:r w:rsidR="00D001C1">
        <w:rPr>
          <w:b/>
          <w:sz w:val="32"/>
          <w:szCs w:val="32"/>
        </w:rPr>
        <w:t xml:space="preserve">: </w:t>
      </w:r>
      <w:r w:rsidR="009D44A4">
        <w:rPr>
          <w:b/>
          <w:i/>
          <w:sz w:val="32"/>
          <w:szCs w:val="32"/>
        </w:rPr>
        <w:t xml:space="preserve">Trachurus </w:t>
      </w:r>
      <w:proofErr w:type="spellStart"/>
      <w:r w:rsidR="009D44A4">
        <w:rPr>
          <w:b/>
          <w:i/>
          <w:sz w:val="32"/>
          <w:szCs w:val="32"/>
        </w:rPr>
        <w:t>murphyi</w:t>
      </w:r>
      <w:proofErr w:type="spellEnd"/>
      <w:r w:rsidR="009D44A4">
        <w:rPr>
          <w:b/>
          <w:i/>
          <w:sz w:val="32"/>
          <w:szCs w:val="32"/>
        </w:rPr>
        <w:t xml:space="preserve"> </w:t>
      </w:r>
      <w:r w:rsidR="009D44A4">
        <w:rPr>
          <w:b/>
          <w:sz w:val="32"/>
          <w:szCs w:val="32"/>
        </w:rPr>
        <w:t>fishery</w:t>
      </w:r>
    </w:p>
    <w:p w:rsidR="006062DF" w:rsidRPr="00BC4767" w:rsidRDefault="0073150B">
      <w:pPr>
        <w:rPr>
          <w:color w:val="808080"/>
          <w:sz w:val="28"/>
          <w:szCs w:val="28"/>
        </w:rPr>
      </w:pPr>
      <w:r w:rsidRPr="00BC4767">
        <w:rPr>
          <w:color w:val="808080"/>
          <w:sz w:val="28"/>
          <w:szCs w:val="28"/>
        </w:rPr>
        <w:t>FLAG</w:t>
      </w:r>
      <w:r w:rsidR="00D001C1">
        <w:rPr>
          <w:color w:val="808080"/>
          <w:sz w:val="28"/>
          <w:szCs w:val="28"/>
        </w:rPr>
        <w:t>/</w:t>
      </w:r>
      <w:r w:rsidR="008E2A1C">
        <w:rPr>
          <w:color w:val="808080"/>
          <w:sz w:val="28"/>
          <w:szCs w:val="28"/>
        </w:rPr>
        <w:t>Member</w:t>
      </w:r>
    </w:p>
    <w:p w:rsidR="0073150B" w:rsidRDefault="006C6F3B">
      <w:pPr>
        <w:rPr>
          <w:sz w:val="28"/>
          <w:szCs w:val="28"/>
        </w:rPr>
      </w:pPr>
      <w:r>
        <w:rPr>
          <w:noProof/>
          <w:sz w:val="28"/>
          <w:szCs w:val="28"/>
          <w:lang w:eastAsia="en-NZ"/>
        </w:rPr>
        <w:pict>
          <v:shape id="_x0000_s1028" type="#_x0000_t202" style="position:absolute;margin-left:328.95pt;margin-top:17.4pt;width:126.75pt;height:27pt;z-index:3">
            <v:textbox style="mso-next-textbox:#_x0000_s1028">
              <w:txbxContent>
                <w:p w:rsidR="008E2A1C" w:rsidRDefault="008E2A1C" w:rsidP="0073150B"/>
              </w:txbxContent>
            </v:textbox>
          </v:shape>
        </w:pict>
      </w:r>
      <w:r>
        <w:rPr>
          <w:noProof/>
          <w:sz w:val="28"/>
          <w:szCs w:val="28"/>
          <w:lang w:eastAsia="en-NZ"/>
        </w:rPr>
        <w:pict>
          <v:shape id="_x0000_s1027" type="#_x0000_t202" style="position:absolute;margin-left:110pt;margin-top:17.4pt;width:108.25pt;height:27pt;z-index:2">
            <v:textbox style="mso-next-textbox:#_x0000_s1027">
              <w:txbxContent>
                <w:p w:rsidR="008E2A1C" w:rsidRDefault="008E2A1C" w:rsidP="0073150B"/>
              </w:txbxContent>
            </v:textbox>
          </v:shape>
        </w:pict>
      </w:r>
    </w:p>
    <w:p w:rsidR="0073150B" w:rsidRPr="008E2A1C" w:rsidRDefault="0073150B" w:rsidP="0073150B">
      <w:pPr>
        <w:rPr>
          <w:color w:val="808080"/>
          <w:sz w:val="28"/>
          <w:szCs w:val="28"/>
        </w:rPr>
      </w:pPr>
      <w:r w:rsidRPr="00BC4767">
        <w:rPr>
          <w:color w:val="808080"/>
          <w:sz w:val="28"/>
          <w:szCs w:val="28"/>
        </w:rPr>
        <w:t>YEAR</w:t>
      </w:r>
      <w:r w:rsidRPr="00BC4767">
        <w:rPr>
          <w:color w:val="808080"/>
          <w:sz w:val="28"/>
          <w:szCs w:val="28"/>
        </w:rPr>
        <w:tab/>
      </w:r>
      <w:r w:rsidR="008E2A1C">
        <w:rPr>
          <w:color w:val="808080"/>
          <w:sz w:val="28"/>
          <w:szCs w:val="28"/>
        </w:rPr>
        <w:tab/>
      </w:r>
      <w:r w:rsidR="008E2A1C">
        <w:rPr>
          <w:color w:val="808080"/>
          <w:sz w:val="28"/>
          <w:szCs w:val="28"/>
        </w:rPr>
        <w:tab/>
      </w:r>
      <w:r w:rsidR="008E2A1C">
        <w:rPr>
          <w:color w:val="808080"/>
          <w:sz w:val="28"/>
          <w:szCs w:val="28"/>
        </w:rPr>
        <w:tab/>
      </w:r>
      <w:r w:rsidR="008E2A1C">
        <w:rPr>
          <w:color w:val="808080"/>
          <w:sz w:val="28"/>
          <w:szCs w:val="28"/>
        </w:rPr>
        <w:tab/>
      </w:r>
      <w:r w:rsidR="008E2A1C">
        <w:rPr>
          <w:color w:val="808080"/>
          <w:sz w:val="28"/>
          <w:szCs w:val="28"/>
        </w:rPr>
        <w:tab/>
      </w:r>
      <w:r w:rsidR="008E2A1C">
        <w:rPr>
          <w:color w:val="808080"/>
          <w:sz w:val="28"/>
          <w:szCs w:val="28"/>
        </w:rPr>
        <w:tab/>
      </w:r>
      <w:r w:rsidR="008E2A1C" w:rsidRPr="00BC4767">
        <w:rPr>
          <w:color w:val="808080"/>
          <w:sz w:val="28"/>
          <w:szCs w:val="28"/>
        </w:rPr>
        <w:t>MONTH</w:t>
      </w:r>
      <w:r w:rsidRPr="00BC4767">
        <w:rPr>
          <w:color w:val="808080"/>
          <w:sz w:val="28"/>
          <w:szCs w:val="28"/>
        </w:rPr>
        <w:tab/>
      </w:r>
    </w:p>
    <w:p w:rsidR="0073150B" w:rsidRPr="009304CA" w:rsidRDefault="009304CA" w:rsidP="0073150B">
      <w:pPr>
        <w:rPr>
          <w:b/>
        </w:rPr>
      </w:pPr>
      <w:r>
        <w:rPr>
          <w:b/>
          <w:sz w:val="28"/>
          <w:szCs w:val="28"/>
        </w:rPr>
        <w:t>ESTIMATED CATCH of</w:t>
      </w:r>
      <w:r w:rsidR="000012DA">
        <w:rPr>
          <w:b/>
          <w:sz w:val="28"/>
          <w:szCs w:val="28"/>
        </w:rPr>
        <w:t xml:space="preserve"> </w:t>
      </w:r>
      <w:r w:rsidR="0073150B" w:rsidRPr="00BC4767">
        <w:rPr>
          <w:b/>
          <w:i/>
          <w:sz w:val="28"/>
          <w:szCs w:val="28"/>
        </w:rPr>
        <w:t>Trachurus</w:t>
      </w:r>
      <w:r w:rsidR="0073150B" w:rsidRPr="00BC4767">
        <w:rPr>
          <w:b/>
          <w:sz w:val="28"/>
          <w:szCs w:val="28"/>
        </w:rPr>
        <w:t xml:space="preserve"> </w:t>
      </w:r>
      <w:proofErr w:type="spellStart"/>
      <w:r w:rsidR="008E2A1C">
        <w:rPr>
          <w:b/>
          <w:i/>
          <w:sz w:val="28"/>
          <w:szCs w:val="28"/>
        </w:rPr>
        <w:t>murphyi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6"/>
        <w:gridCol w:w="1625"/>
        <w:gridCol w:w="1699"/>
        <w:gridCol w:w="3262"/>
      </w:tblGrid>
      <w:tr w:rsidR="008E2A1C" w:rsidRPr="00661AE9" w:rsidTr="00843E8D">
        <w:trPr>
          <w:trHeight w:val="453"/>
        </w:trPr>
        <w:tc>
          <w:tcPr>
            <w:tcW w:w="1437" w:type="pct"/>
            <w:vAlign w:val="center"/>
          </w:tcPr>
          <w:p w:rsidR="008E2A1C" w:rsidRPr="00661AE9" w:rsidRDefault="008E2A1C" w:rsidP="00D207CD">
            <w:pPr>
              <w:spacing w:after="0" w:line="240" w:lineRule="auto"/>
              <w:rPr>
                <w:b/>
                <w:color w:val="808080"/>
                <w:sz w:val="28"/>
                <w:szCs w:val="28"/>
              </w:rPr>
            </w:pPr>
            <w:r w:rsidRPr="00661AE9">
              <w:rPr>
                <w:b/>
                <w:color w:val="808080"/>
                <w:sz w:val="28"/>
                <w:szCs w:val="28"/>
              </w:rPr>
              <w:t>Species Name</w:t>
            </w:r>
          </w:p>
        </w:tc>
        <w:tc>
          <w:tcPr>
            <w:tcW w:w="879" w:type="pct"/>
            <w:vAlign w:val="center"/>
          </w:tcPr>
          <w:p w:rsidR="008E2A1C" w:rsidRPr="00661AE9" w:rsidRDefault="008E2A1C" w:rsidP="00D207CD">
            <w:pPr>
              <w:spacing w:after="0" w:line="240" w:lineRule="auto"/>
              <w:jc w:val="center"/>
              <w:rPr>
                <w:b/>
                <w:color w:val="808080"/>
                <w:sz w:val="28"/>
                <w:szCs w:val="28"/>
              </w:rPr>
            </w:pPr>
            <w:r w:rsidRPr="00661AE9">
              <w:rPr>
                <w:b/>
                <w:color w:val="808080"/>
                <w:sz w:val="28"/>
                <w:szCs w:val="28"/>
              </w:rPr>
              <w:t>Species (FAO) Code</w:t>
            </w:r>
          </w:p>
        </w:tc>
        <w:tc>
          <w:tcPr>
            <w:tcW w:w="919" w:type="pct"/>
            <w:vAlign w:val="center"/>
          </w:tcPr>
          <w:p w:rsidR="008E2A1C" w:rsidRPr="00661AE9" w:rsidRDefault="008E2A1C" w:rsidP="00D207CD">
            <w:pPr>
              <w:spacing w:after="0" w:line="240" w:lineRule="auto"/>
              <w:jc w:val="center"/>
              <w:rPr>
                <w:b/>
                <w:color w:val="808080"/>
                <w:sz w:val="28"/>
                <w:szCs w:val="28"/>
              </w:rPr>
            </w:pPr>
            <w:r>
              <w:rPr>
                <w:b/>
                <w:color w:val="808080"/>
                <w:sz w:val="28"/>
                <w:szCs w:val="28"/>
              </w:rPr>
              <w:t>Area</w:t>
            </w:r>
          </w:p>
        </w:tc>
        <w:tc>
          <w:tcPr>
            <w:tcW w:w="1765" w:type="pct"/>
            <w:vAlign w:val="center"/>
          </w:tcPr>
          <w:p w:rsidR="008E2A1C" w:rsidRPr="00661AE9" w:rsidRDefault="008E2A1C" w:rsidP="00D207CD">
            <w:pPr>
              <w:spacing w:after="0" w:line="240" w:lineRule="auto"/>
              <w:jc w:val="center"/>
              <w:rPr>
                <w:b/>
                <w:color w:val="808080"/>
                <w:sz w:val="28"/>
                <w:szCs w:val="28"/>
              </w:rPr>
            </w:pPr>
            <w:r w:rsidRPr="00661AE9">
              <w:rPr>
                <w:b/>
                <w:color w:val="808080"/>
                <w:sz w:val="28"/>
                <w:szCs w:val="28"/>
              </w:rPr>
              <w:t xml:space="preserve">Total Monthly Estimated Catch (Kg): </w:t>
            </w:r>
            <w:r>
              <w:rPr>
                <w:b/>
                <w:color w:val="808080"/>
                <w:sz w:val="28"/>
                <w:szCs w:val="28"/>
              </w:rPr>
              <w:br/>
            </w:r>
            <w:r w:rsidR="00843E8D">
              <w:rPr>
                <w:b/>
                <w:color w:val="808080"/>
              </w:rPr>
              <w:t>(</w:t>
            </w:r>
            <w:r w:rsidRPr="00843E8D">
              <w:rPr>
                <w:b/>
                <w:color w:val="808080"/>
              </w:rPr>
              <w:t>All Vessels Combined</w:t>
            </w:r>
            <w:r w:rsidR="00843E8D">
              <w:rPr>
                <w:b/>
                <w:color w:val="808080"/>
              </w:rPr>
              <w:t>)</w:t>
            </w:r>
          </w:p>
        </w:tc>
      </w:tr>
      <w:tr w:rsidR="008E2A1C" w:rsidRPr="00661AE9" w:rsidTr="00843E8D">
        <w:trPr>
          <w:trHeight w:val="589"/>
        </w:trPr>
        <w:tc>
          <w:tcPr>
            <w:tcW w:w="1437" w:type="pct"/>
            <w:vAlign w:val="center"/>
          </w:tcPr>
          <w:p w:rsidR="008E2A1C" w:rsidRPr="00661AE9" w:rsidRDefault="008E2A1C" w:rsidP="00D207CD">
            <w:pPr>
              <w:spacing w:after="0" w:line="240" w:lineRule="auto"/>
              <w:rPr>
                <w:sz w:val="24"/>
                <w:szCs w:val="24"/>
              </w:rPr>
            </w:pPr>
            <w:r w:rsidRPr="00661AE9">
              <w:rPr>
                <w:i/>
                <w:sz w:val="24"/>
                <w:szCs w:val="24"/>
              </w:rPr>
              <w:t xml:space="preserve">Trachurus </w:t>
            </w:r>
            <w:proofErr w:type="spellStart"/>
            <w:r w:rsidRPr="00661AE9">
              <w:rPr>
                <w:i/>
                <w:sz w:val="24"/>
                <w:szCs w:val="24"/>
              </w:rPr>
              <w:t>murphyi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 w:rsidRPr="00661AE9">
              <w:rPr>
                <w:color w:val="808080"/>
                <w:sz w:val="24"/>
                <w:szCs w:val="24"/>
              </w:rPr>
              <w:t>(Chilean jack mackerel)</w:t>
            </w:r>
          </w:p>
        </w:tc>
        <w:tc>
          <w:tcPr>
            <w:tcW w:w="879" w:type="pct"/>
            <w:vAlign w:val="center"/>
          </w:tcPr>
          <w:p w:rsidR="008E2A1C" w:rsidRPr="00661AE9" w:rsidRDefault="008E2A1C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AE9">
              <w:rPr>
                <w:sz w:val="24"/>
                <w:szCs w:val="24"/>
              </w:rPr>
              <w:t>CJM</w:t>
            </w:r>
          </w:p>
        </w:tc>
        <w:tc>
          <w:tcPr>
            <w:tcW w:w="919" w:type="pct"/>
            <w:vAlign w:val="center"/>
          </w:tcPr>
          <w:p w:rsidR="008E2A1C" w:rsidRPr="00661AE9" w:rsidRDefault="008E2A1C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SPRFMO Area</w:t>
            </w:r>
          </w:p>
        </w:tc>
        <w:tc>
          <w:tcPr>
            <w:tcW w:w="1765" w:type="pct"/>
            <w:vAlign w:val="center"/>
          </w:tcPr>
          <w:p w:rsidR="008E2A1C" w:rsidRPr="00661AE9" w:rsidRDefault="008E2A1C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2A1C" w:rsidRPr="00661AE9" w:rsidTr="00843E8D">
        <w:trPr>
          <w:trHeight w:val="589"/>
        </w:trPr>
        <w:tc>
          <w:tcPr>
            <w:tcW w:w="1437" w:type="pct"/>
            <w:vAlign w:val="center"/>
          </w:tcPr>
          <w:p w:rsidR="008E2A1C" w:rsidRPr="00661AE9" w:rsidRDefault="008E2A1C" w:rsidP="00D207CD">
            <w:pPr>
              <w:spacing w:after="0" w:line="240" w:lineRule="auto"/>
              <w:rPr>
                <w:sz w:val="24"/>
                <w:szCs w:val="24"/>
              </w:rPr>
            </w:pPr>
            <w:r w:rsidRPr="00661AE9">
              <w:rPr>
                <w:i/>
                <w:sz w:val="24"/>
                <w:szCs w:val="24"/>
              </w:rPr>
              <w:t xml:space="preserve">Trachurus </w:t>
            </w:r>
            <w:proofErr w:type="spellStart"/>
            <w:r w:rsidRPr="00661AE9">
              <w:rPr>
                <w:i/>
                <w:sz w:val="24"/>
                <w:szCs w:val="24"/>
              </w:rPr>
              <w:t>murphyi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 w:rsidRPr="00661AE9">
              <w:rPr>
                <w:color w:val="808080"/>
                <w:sz w:val="24"/>
                <w:szCs w:val="24"/>
              </w:rPr>
              <w:t>(Chilean jack mackerel)</w:t>
            </w:r>
          </w:p>
        </w:tc>
        <w:tc>
          <w:tcPr>
            <w:tcW w:w="879" w:type="pct"/>
            <w:vAlign w:val="center"/>
          </w:tcPr>
          <w:p w:rsidR="008E2A1C" w:rsidRPr="00661AE9" w:rsidRDefault="008E2A1C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AE9">
              <w:rPr>
                <w:sz w:val="24"/>
                <w:szCs w:val="24"/>
              </w:rPr>
              <w:t>CJM</w:t>
            </w:r>
          </w:p>
        </w:tc>
        <w:tc>
          <w:tcPr>
            <w:tcW w:w="919" w:type="pct"/>
            <w:vAlign w:val="center"/>
          </w:tcPr>
          <w:p w:rsidR="008E2A1C" w:rsidRPr="00661AE9" w:rsidRDefault="008E2A1C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under National Jurisdiction</w:t>
            </w:r>
            <w:r w:rsidR="00BF2726">
              <w:rPr>
                <w:sz w:val="24"/>
                <w:szCs w:val="24"/>
              </w:rPr>
              <w:t>*</w:t>
            </w:r>
          </w:p>
        </w:tc>
        <w:tc>
          <w:tcPr>
            <w:tcW w:w="1765" w:type="pct"/>
            <w:vAlign w:val="center"/>
          </w:tcPr>
          <w:p w:rsidR="008E2A1C" w:rsidRPr="00661AE9" w:rsidRDefault="008E2A1C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C5904" w:rsidRPr="009726B5" w:rsidRDefault="00DC5904" w:rsidP="00DC5904">
      <w:pPr>
        <w:pStyle w:val="Footer"/>
        <w:rPr>
          <w:color w:val="808080" w:themeColor="background1" w:themeShade="80"/>
        </w:rPr>
      </w:pPr>
      <w:r w:rsidRPr="009726B5">
        <w:rPr>
          <w:color w:val="808080" w:themeColor="background1" w:themeShade="80"/>
        </w:rPr>
        <w:t xml:space="preserve">According to CMM 1.01 Members and CNCPs participating in the </w:t>
      </w:r>
      <w:r w:rsidRPr="009726B5">
        <w:rPr>
          <w:i/>
          <w:color w:val="808080" w:themeColor="background1" w:themeShade="80"/>
        </w:rPr>
        <w:t xml:space="preserve">Trachurus </w:t>
      </w:r>
      <w:proofErr w:type="spellStart"/>
      <w:r w:rsidRPr="009726B5">
        <w:rPr>
          <w:i/>
          <w:color w:val="808080" w:themeColor="background1" w:themeShade="80"/>
        </w:rPr>
        <w:t>murphyi</w:t>
      </w:r>
      <w:proofErr w:type="spellEnd"/>
      <w:r w:rsidRPr="009726B5">
        <w:rPr>
          <w:color w:val="808080" w:themeColor="background1" w:themeShade="80"/>
        </w:rPr>
        <w:t xml:space="preserve"> fishery should report catches to the Secretariat within 10 days of the end of the month</w:t>
      </w:r>
      <w:r w:rsidR="00BF2726">
        <w:rPr>
          <w:color w:val="808080" w:themeColor="background1" w:themeShade="80"/>
        </w:rPr>
        <w:t>.  *Members who have not provided the express consent referred to in Article 20(4)</w:t>
      </w:r>
      <w:r w:rsidR="00F5656D">
        <w:rPr>
          <w:color w:val="808080" w:themeColor="background1" w:themeShade="80"/>
        </w:rPr>
        <w:t xml:space="preserve"> </w:t>
      </w:r>
      <w:r w:rsidR="00BF2726">
        <w:rPr>
          <w:color w:val="808080" w:themeColor="background1" w:themeShade="80"/>
        </w:rPr>
        <w:t>(a)</w:t>
      </w:r>
      <w:r w:rsidR="00F5656D">
        <w:rPr>
          <w:color w:val="808080" w:themeColor="background1" w:themeShade="80"/>
        </w:rPr>
        <w:t xml:space="preserve"> </w:t>
      </w:r>
      <w:r w:rsidR="00BF2726">
        <w:rPr>
          <w:color w:val="808080" w:themeColor="background1" w:themeShade="80"/>
        </w:rPr>
        <w:t xml:space="preserve">(iii) of the Convention and </w:t>
      </w:r>
      <w:r w:rsidR="00F5656D">
        <w:rPr>
          <w:color w:val="808080" w:themeColor="background1" w:themeShade="80"/>
        </w:rPr>
        <w:t>CN</w:t>
      </w:r>
      <w:r w:rsidR="00BF2726">
        <w:rPr>
          <w:color w:val="808080" w:themeColor="background1" w:themeShade="80"/>
        </w:rPr>
        <w:t xml:space="preserve">CPs with areas of national jurisdiction adjacent to the fishery are requested to cooperate by providing monthly reports for catches of </w:t>
      </w:r>
      <w:r w:rsidR="00BF2726" w:rsidRPr="00BF2726">
        <w:rPr>
          <w:i/>
          <w:color w:val="808080" w:themeColor="background1" w:themeShade="80"/>
        </w:rPr>
        <w:t xml:space="preserve">Trachurus </w:t>
      </w:r>
      <w:proofErr w:type="spellStart"/>
      <w:r w:rsidR="00BF2726" w:rsidRPr="00BF2726">
        <w:rPr>
          <w:i/>
          <w:color w:val="808080" w:themeColor="background1" w:themeShade="80"/>
        </w:rPr>
        <w:t>murphyi</w:t>
      </w:r>
      <w:proofErr w:type="spellEnd"/>
      <w:r w:rsidR="00BF2726">
        <w:rPr>
          <w:color w:val="808080" w:themeColor="background1" w:themeShade="80"/>
        </w:rPr>
        <w:t xml:space="preserve"> within </w:t>
      </w:r>
      <w:r w:rsidR="00F5656D">
        <w:rPr>
          <w:color w:val="808080" w:themeColor="background1" w:themeShade="80"/>
        </w:rPr>
        <w:t>areas of national jurisdiction</w:t>
      </w:r>
      <w:r w:rsidR="00BF2726">
        <w:rPr>
          <w:color w:val="808080" w:themeColor="background1" w:themeShade="80"/>
        </w:rPr>
        <w:t>.</w:t>
      </w:r>
    </w:p>
    <w:p w:rsidR="008E2A1C" w:rsidRDefault="008E2A1C" w:rsidP="008E2A1C">
      <w:pPr>
        <w:rPr>
          <w:b/>
          <w:sz w:val="28"/>
          <w:szCs w:val="28"/>
        </w:rPr>
      </w:pPr>
    </w:p>
    <w:p w:rsidR="0073150B" w:rsidRPr="00D207CD" w:rsidRDefault="0086313E" w:rsidP="00843E8D">
      <w:pPr>
        <w:jc w:val="center"/>
      </w:pPr>
      <w:r>
        <w:rPr>
          <w:b/>
          <w:sz w:val="28"/>
          <w:szCs w:val="28"/>
        </w:rPr>
        <w:t>VESSELS a</w:t>
      </w:r>
      <w:r w:rsidR="008E2A1C">
        <w:rPr>
          <w:b/>
          <w:sz w:val="28"/>
          <w:szCs w:val="28"/>
        </w:rPr>
        <w:t>ctively fishing</w:t>
      </w:r>
      <w:r>
        <w:rPr>
          <w:b/>
          <w:sz w:val="28"/>
          <w:szCs w:val="28"/>
        </w:rPr>
        <w:t xml:space="preserve"> or engaged in </w:t>
      </w:r>
      <w:proofErr w:type="spellStart"/>
      <w:r>
        <w:rPr>
          <w:b/>
          <w:sz w:val="28"/>
          <w:szCs w:val="28"/>
        </w:rPr>
        <w:t>Tra</w:t>
      </w:r>
      <w:r w:rsidR="008E2A1C">
        <w:rPr>
          <w:b/>
          <w:sz w:val="28"/>
          <w:szCs w:val="28"/>
        </w:rPr>
        <w:t>n</w:t>
      </w:r>
      <w:r w:rsidR="00D207CD">
        <w:rPr>
          <w:b/>
          <w:sz w:val="28"/>
          <w:szCs w:val="28"/>
        </w:rPr>
        <w:t>s</w:t>
      </w:r>
      <w:r w:rsidR="00843E8D">
        <w:rPr>
          <w:b/>
          <w:sz w:val="28"/>
          <w:szCs w:val="28"/>
        </w:rPr>
        <w:t>shipment</w:t>
      </w:r>
      <w:proofErr w:type="spellEnd"/>
      <w:r w:rsidR="00843E8D">
        <w:rPr>
          <w:b/>
          <w:sz w:val="28"/>
          <w:szCs w:val="28"/>
        </w:rPr>
        <w:t xml:space="preserve"> within the SPRFMO C</w:t>
      </w:r>
      <w:r>
        <w:rPr>
          <w:b/>
          <w:sz w:val="28"/>
          <w:szCs w:val="28"/>
        </w:rPr>
        <w:t>onvention Area</w:t>
      </w:r>
      <w:r w:rsidR="008E2A1C">
        <w:rPr>
          <w:b/>
          <w:sz w:val="28"/>
          <w:szCs w:val="28"/>
        </w:rPr>
        <w:t xml:space="preserve"> </w:t>
      </w:r>
      <w:r w:rsidR="00D207CD" w:rsidRPr="00C77F3F">
        <w:rPr>
          <w:color w:val="808080" w:themeColor="background1" w:themeShade="80"/>
          <w:sz w:val="24"/>
          <w:szCs w:val="24"/>
        </w:rPr>
        <w:t>(includes reefer vessels)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9"/>
        <w:gridCol w:w="1848"/>
        <w:gridCol w:w="1850"/>
        <w:gridCol w:w="1848"/>
        <w:gridCol w:w="1847"/>
      </w:tblGrid>
      <w:tr w:rsidR="008E18B7" w:rsidRPr="00661AE9" w:rsidTr="002A636B">
        <w:trPr>
          <w:trHeight w:val="589"/>
        </w:trPr>
        <w:tc>
          <w:tcPr>
            <w:tcW w:w="3001" w:type="pct"/>
            <w:gridSpan w:val="3"/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808080"/>
                <w:sz w:val="28"/>
                <w:szCs w:val="28"/>
              </w:rPr>
              <w:t>Vessels actively fishing</w:t>
            </w:r>
          </w:p>
        </w:tc>
        <w:tc>
          <w:tcPr>
            <w:tcW w:w="1999" w:type="pct"/>
            <w:gridSpan w:val="2"/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808080"/>
                <w:sz w:val="28"/>
                <w:szCs w:val="28"/>
              </w:rPr>
              <w:t>Vessels engaged in transhipment</w:t>
            </w:r>
          </w:p>
        </w:tc>
      </w:tr>
      <w:tr w:rsidR="008E18B7" w:rsidRPr="00661AE9" w:rsidTr="004472A1">
        <w:trPr>
          <w:trHeight w:val="589"/>
        </w:trPr>
        <w:tc>
          <w:tcPr>
            <w:tcW w:w="1000" w:type="pct"/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lef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18B7" w:rsidRPr="00661AE9" w:rsidTr="004472A1">
        <w:trPr>
          <w:trHeight w:val="589"/>
        </w:trPr>
        <w:tc>
          <w:tcPr>
            <w:tcW w:w="1000" w:type="pct"/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lef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18B7" w:rsidRPr="00661AE9" w:rsidTr="004472A1">
        <w:trPr>
          <w:trHeight w:val="589"/>
        </w:trPr>
        <w:tc>
          <w:tcPr>
            <w:tcW w:w="1000" w:type="pct"/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lef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18B7" w:rsidRPr="00661AE9" w:rsidTr="004472A1">
        <w:trPr>
          <w:trHeight w:val="589"/>
        </w:trPr>
        <w:tc>
          <w:tcPr>
            <w:tcW w:w="1000" w:type="pct"/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lef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18B7" w:rsidRPr="00661AE9" w:rsidTr="004472A1">
        <w:trPr>
          <w:trHeight w:val="589"/>
        </w:trPr>
        <w:tc>
          <w:tcPr>
            <w:tcW w:w="1000" w:type="pct"/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lef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18B7" w:rsidRPr="00661AE9" w:rsidTr="004472A1">
        <w:trPr>
          <w:trHeight w:val="589"/>
        </w:trPr>
        <w:tc>
          <w:tcPr>
            <w:tcW w:w="1000" w:type="pct"/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lef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18B7" w:rsidRPr="00661AE9" w:rsidTr="004472A1">
        <w:trPr>
          <w:trHeight w:val="589"/>
        </w:trPr>
        <w:tc>
          <w:tcPr>
            <w:tcW w:w="1000" w:type="pct"/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left w:val="single" w:sz="4" w:space="0" w:color="000000"/>
            </w:tcBorders>
            <w:vAlign w:val="center"/>
          </w:tcPr>
          <w:p w:rsidR="008E18B7" w:rsidRPr="00661AE9" w:rsidRDefault="008E18B7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8E2A1C" w:rsidRDefault="008E2A1C" w:rsidP="00843E8D">
      <w:pPr>
        <w:rPr>
          <w:sz w:val="28"/>
          <w:szCs w:val="28"/>
        </w:rPr>
      </w:pPr>
    </w:p>
    <w:sectPr w:rsidR="008E2A1C" w:rsidSect="00843E8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29D" w:rsidRDefault="0061229D" w:rsidP="00125503">
      <w:pPr>
        <w:spacing w:after="0" w:line="240" w:lineRule="auto"/>
      </w:pPr>
      <w:r>
        <w:separator/>
      </w:r>
    </w:p>
  </w:endnote>
  <w:endnote w:type="continuationSeparator" w:id="0">
    <w:p w:rsidR="0061229D" w:rsidRDefault="0061229D" w:rsidP="0012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1C" w:rsidRPr="00C77F3F" w:rsidRDefault="008E2A1C" w:rsidP="000717E3">
    <w:pPr>
      <w:pStyle w:val="Footer"/>
      <w:rPr>
        <w:color w:val="808080" w:themeColor="background1" w:themeShade="80"/>
      </w:rPr>
    </w:pPr>
    <w:r w:rsidRPr="00C77F3F">
      <w:rPr>
        <w:color w:val="808080" w:themeColor="background1" w:themeShade="80"/>
      </w:rPr>
      <w:t xml:space="preserve">According to the Conservation and Management Measure for </w:t>
    </w:r>
    <w:r w:rsidRPr="00C77F3F">
      <w:rPr>
        <w:i/>
        <w:color w:val="808080" w:themeColor="background1" w:themeShade="80"/>
      </w:rPr>
      <w:t xml:space="preserve">Trachurus </w:t>
    </w:r>
    <w:proofErr w:type="spellStart"/>
    <w:r w:rsidR="00843E8D" w:rsidRPr="00C77F3F">
      <w:rPr>
        <w:i/>
        <w:color w:val="808080" w:themeColor="background1" w:themeShade="80"/>
      </w:rPr>
      <w:t>murphyi</w:t>
    </w:r>
    <w:proofErr w:type="spellEnd"/>
    <w:r w:rsidR="00843E8D" w:rsidRPr="00C77F3F">
      <w:rPr>
        <w:i/>
        <w:color w:val="808080" w:themeColor="background1" w:themeShade="80"/>
      </w:rPr>
      <w:t xml:space="preserve"> </w:t>
    </w:r>
    <w:r w:rsidR="00843E8D" w:rsidRPr="00C77F3F">
      <w:rPr>
        <w:color w:val="808080" w:themeColor="background1" w:themeShade="80"/>
      </w:rPr>
      <w:t>(</w:t>
    </w:r>
    <w:r w:rsidR="00BF2726">
      <w:rPr>
        <w:color w:val="808080" w:themeColor="background1" w:themeShade="80"/>
      </w:rPr>
      <w:t xml:space="preserve">CMM </w:t>
    </w:r>
    <w:r w:rsidR="008E18B7" w:rsidRPr="00C77F3F">
      <w:rPr>
        <w:color w:val="808080" w:themeColor="background1" w:themeShade="80"/>
      </w:rPr>
      <w:t xml:space="preserve">1.01, </w:t>
    </w:r>
    <w:r w:rsidRPr="00C77F3F">
      <w:rPr>
        <w:color w:val="808080" w:themeColor="background1" w:themeShade="80"/>
      </w:rPr>
      <w:t xml:space="preserve">adopted 1 February 2013), </w:t>
    </w:r>
    <w:r w:rsidR="008E18B7" w:rsidRPr="00C77F3F">
      <w:rPr>
        <w:color w:val="808080" w:themeColor="background1" w:themeShade="80"/>
      </w:rPr>
      <w:t xml:space="preserve">lists of </w:t>
    </w:r>
    <w:r w:rsidRPr="00C77F3F">
      <w:rPr>
        <w:color w:val="808080" w:themeColor="background1" w:themeShade="80"/>
      </w:rPr>
      <w:t>vessels actively fishing or enga</w:t>
    </w:r>
    <w:r w:rsidR="008E18B7" w:rsidRPr="00C77F3F">
      <w:rPr>
        <w:color w:val="808080" w:themeColor="background1" w:themeShade="80"/>
      </w:rPr>
      <w:t>ged in transhipment within the C</w:t>
    </w:r>
    <w:r w:rsidRPr="00C77F3F">
      <w:rPr>
        <w:color w:val="808080" w:themeColor="background1" w:themeShade="80"/>
      </w:rPr>
      <w:t xml:space="preserve">onvention </w:t>
    </w:r>
    <w:r w:rsidR="00843E8D" w:rsidRPr="00C77F3F">
      <w:rPr>
        <w:color w:val="808080" w:themeColor="background1" w:themeShade="80"/>
      </w:rPr>
      <w:t>Area should</w:t>
    </w:r>
    <w:r w:rsidRPr="00C77F3F">
      <w:rPr>
        <w:color w:val="808080" w:themeColor="background1" w:themeShade="80"/>
      </w:rPr>
      <w:t xml:space="preserve"> be submitted to the Secretariat within 10 days of the end of the month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29D" w:rsidRDefault="0061229D" w:rsidP="00125503">
      <w:pPr>
        <w:spacing w:after="0" w:line="240" w:lineRule="auto"/>
      </w:pPr>
      <w:r>
        <w:separator/>
      </w:r>
    </w:p>
  </w:footnote>
  <w:footnote w:type="continuationSeparator" w:id="0">
    <w:p w:rsidR="0061229D" w:rsidRDefault="0061229D" w:rsidP="0012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1C" w:rsidRPr="00C77F3F" w:rsidRDefault="008E2A1C" w:rsidP="00125503">
    <w:pPr>
      <w:pStyle w:val="Header"/>
      <w:jc w:val="right"/>
      <w:rPr>
        <w:i/>
        <w:color w:val="808080" w:themeColor="background1" w:themeShade="80"/>
      </w:rPr>
    </w:pPr>
    <w:r w:rsidRPr="00125503">
      <w:rPr>
        <w:i/>
        <w:color w:val="808080"/>
      </w:rPr>
      <w:t xml:space="preserve"> </w:t>
    </w:r>
    <w:r w:rsidRPr="00C77F3F">
      <w:rPr>
        <w:i/>
        <w:color w:val="808080" w:themeColor="background1" w:themeShade="80"/>
      </w:rPr>
      <w:t xml:space="preserve">Conservation Management Measure 1.01; </w:t>
    </w:r>
    <w:r w:rsidR="008E18B7" w:rsidRPr="00C77F3F">
      <w:rPr>
        <w:i/>
        <w:color w:val="808080" w:themeColor="background1" w:themeShade="80"/>
      </w:rPr>
      <w:t>Monthly Return</w:t>
    </w:r>
    <w:r w:rsidRPr="00C77F3F">
      <w:rPr>
        <w:i/>
        <w:color w:val="808080" w:themeColor="background1" w:themeShade="80"/>
      </w:rPr>
      <w:t xml:space="preserve"> 2013 _v1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D0EB9"/>
    <w:multiLevelType w:val="hybridMultilevel"/>
    <w:tmpl w:val="A6024BCE"/>
    <w:lvl w:ilvl="0" w:tplc="9F38B7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01766"/>
    <w:multiLevelType w:val="hybridMultilevel"/>
    <w:tmpl w:val="BCE4000E"/>
    <w:lvl w:ilvl="0" w:tplc="498AA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2DF"/>
    <w:rsid w:val="000012DA"/>
    <w:rsid w:val="00026729"/>
    <w:rsid w:val="00053B58"/>
    <w:rsid w:val="000717E3"/>
    <w:rsid w:val="00087E28"/>
    <w:rsid w:val="000C7598"/>
    <w:rsid w:val="00110B86"/>
    <w:rsid w:val="00125503"/>
    <w:rsid w:val="0015690E"/>
    <w:rsid w:val="0024043C"/>
    <w:rsid w:val="002A636B"/>
    <w:rsid w:val="002E7400"/>
    <w:rsid w:val="00310E3A"/>
    <w:rsid w:val="003979DF"/>
    <w:rsid w:val="004400A7"/>
    <w:rsid w:val="004472A1"/>
    <w:rsid w:val="00533B6B"/>
    <w:rsid w:val="00581687"/>
    <w:rsid w:val="006062DF"/>
    <w:rsid w:val="0061229D"/>
    <w:rsid w:val="00661AE9"/>
    <w:rsid w:val="006C6F3B"/>
    <w:rsid w:val="007244A3"/>
    <w:rsid w:val="0073150B"/>
    <w:rsid w:val="007A1063"/>
    <w:rsid w:val="00841F3F"/>
    <w:rsid w:val="00843E8D"/>
    <w:rsid w:val="008507CC"/>
    <w:rsid w:val="0086313E"/>
    <w:rsid w:val="008B165F"/>
    <w:rsid w:val="008E18B7"/>
    <w:rsid w:val="008E2A1C"/>
    <w:rsid w:val="009167BD"/>
    <w:rsid w:val="009304CA"/>
    <w:rsid w:val="009726B5"/>
    <w:rsid w:val="009C7225"/>
    <w:rsid w:val="009D44A4"/>
    <w:rsid w:val="00A331A0"/>
    <w:rsid w:val="00A41E73"/>
    <w:rsid w:val="00B302EE"/>
    <w:rsid w:val="00B30C95"/>
    <w:rsid w:val="00BC11D1"/>
    <w:rsid w:val="00BC4767"/>
    <w:rsid w:val="00BF2726"/>
    <w:rsid w:val="00C77F3F"/>
    <w:rsid w:val="00CD2D0D"/>
    <w:rsid w:val="00CE0151"/>
    <w:rsid w:val="00D001C1"/>
    <w:rsid w:val="00D1769C"/>
    <w:rsid w:val="00D207CD"/>
    <w:rsid w:val="00D47D81"/>
    <w:rsid w:val="00D92DAF"/>
    <w:rsid w:val="00DA7848"/>
    <w:rsid w:val="00DB0D39"/>
    <w:rsid w:val="00DC5904"/>
    <w:rsid w:val="00DD23B8"/>
    <w:rsid w:val="00ED4607"/>
    <w:rsid w:val="00F5656D"/>
    <w:rsid w:val="00F8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2D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5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1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B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503"/>
  </w:style>
  <w:style w:type="paragraph" w:styleId="Footer">
    <w:name w:val="footer"/>
    <w:basedOn w:val="Normal"/>
    <w:link w:val="FooterChar"/>
    <w:uiPriority w:val="99"/>
    <w:semiHidden/>
    <w:unhideWhenUsed/>
    <w:rsid w:val="0012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514D6-C818-4A91-9878-6CFECF8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siball</dc:creator>
  <cp:lastModifiedBy>cloveridge</cp:lastModifiedBy>
  <cp:revision>10</cp:revision>
  <cp:lastPrinted>2013-03-04T20:53:00Z</cp:lastPrinted>
  <dcterms:created xsi:type="dcterms:W3CDTF">2013-02-26T20:50:00Z</dcterms:created>
  <dcterms:modified xsi:type="dcterms:W3CDTF">2013-03-04T20:56:00Z</dcterms:modified>
</cp:coreProperties>
</file>