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1F491" w14:textId="77777777" w:rsidR="004243FF" w:rsidRPr="00FA772C" w:rsidRDefault="004243FF" w:rsidP="004243FF">
      <w:pPr>
        <w:spacing w:after="0" w:line="240" w:lineRule="auto"/>
        <w:jc w:val="center"/>
        <w:rPr>
          <w:rFonts w:eastAsia="Yu Gothic Light" w:cs="Times New Roman"/>
          <w:b/>
          <w:color w:val="1F3864"/>
          <w:sz w:val="28"/>
          <w:szCs w:val="32"/>
        </w:rPr>
      </w:pPr>
      <w:bookmarkStart w:id="0" w:name="_Hlk494797535"/>
      <w:bookmarkStart w:id="1" w:name="_Hlk494804323"/>
      <w:r w:rsidRPr="00FA772C">
        <w:rPr>
          <w:rFonts w:eastAsia="Yu Gothic Light" w:cs="Times New Roman"/>
          <w:b/>
          <w:color w:val="1F3864"/>
          <w:sz w:val="28"/>
          <w:szCs w:val="32"/>
        </w:rPr>
        <w:t xml:space="preserve">SC14 </w:t>
      </w:r>
      <w:r>
        <w:rPr>
          <w:rFonts w:eastAsia="Yu Gothic Light" w:cs="Times New Roman"/>
          <w:b/>
          <w:color w:val="1F3864"/>
          <w:sz w:val="28"/>
          <w:szCs w:val="32"/>
        </w:rPr>
        <w:t xml:space="preserve">Meeting </w:t>
      </w:r>
      <w:r w:rsidRPr="00FA772C">
        <w:rPr>
          <w:rFonts w:eastAsia="Yu Gothic Light" w:cs="Times New Roman"/>
          <w:b/>
          <w:color w:val="1F3864"/>
          <w:sz w:val="28"/>
          <w:szCs w:val="32"/>
        </w:rPr>
        <w:t xml:space="preserve">Report </w:t>
      </w:r>
    </w:p>
    <w:p w14:paraId="68504D0B" w14:textId="14936906" w:rsidR="004243FF" w:rsidRPr="00FA772C" w:rsidRDefault="004243FF" w:rsidP="004243FF">
      <w:pPr>
        <w:pBdr>
          <w:bottom w:val="single" w:sz="4" w:space="1" w:color="002060"/>
        </w:pBdr>
        <w:spacing w:after="0" w:line="240" w:lineRule="auto"/>
        <w:jc w:val="center"/>
        <w:rPr>
          <w:rFonts w:eastAsia="Calibri Light" w:cs="Calibri Light"/>
          <w:color w:val="1F3864"/>
          <w:sz w:val="28"/>
          <w:szCs w:val="28"/>
        </w:rPr>
      </w:pPr>
      <w:r w:rsidRPr="00FA772C">
        <w:rPr>
          <w:rFonts w:eastAsia="Calibri Light" w:cs="Calibri Light"/>
          <w:b/>
          <w:bCs/>
          <w:color w:val="1F3864"/>
          <w:sz w:val="28"/>
          <w:szCs w:val="28"/>
        </w:rPr>
        <w:t xml:space="preserve">Annex </w:t>
      </w:r>
      <w:r w:rsidR="002A1255">
        <w:rPr>
          <w:rFonts w:eastAsia="Calibri Light" w:cs="Calibri Light"/>
          <w:b/>
          <w:bCs/>
          <w:color w:val="1F3864"/>
          <w:sz w:val="28"/>
          <w:szCs w:val="28"/>
        </w:rPr>
        <w:t>11</w:t>
      </w:r>
      <w:r w:rsidRPr="00FA772C">
        <w:rPr>
          <w:rFonts w:eastAsia="Calibri Light" w:cs="Calibri Light"/>
          <w:b/>
          <w:bCs/>
          <w:color w:val="1F3864"/>
          <w:sz w:val="28"/>
          <w:szCs w:val="28"/>
        </w:rPr>
        <w:t xml:space="preserve">: </w:t>
      </w:r>
      <w:r w:rsidRPr="004243FF">
        <w:rPr>
          <w:rFonts w:eastAsia="Calibri Light" w:cs="Calibri Light"/>
          <w:b/>
          <w:bCs/>
          <w:color w:val="1F3864"/>
          <w:sz w:val="28"/>
          <w:szCs w:val="28"/>
          <w:lang w:val="en-US"/>
        </w:rPr>
        <w:t>Developing exceptional circumstances for jack mackerel MSE</w:t>
      </w:r>
    </w:p>
    <w:p w14:paraId="29F3C645" w14:textId="77777777" w:rsidR="004243FF" w:rsidRDefault="00124022" w:rsidP="00B13C1A">
      <w:pPr>
        <w:spacing w:after="0" w:line="240" w:lineRule="auto"/>
        <w:jc w:val="both"/>
        <w:rPr>
          <w:rFonts w:asciiTheme="majorHAnsi" w:eastAsia="Times New Roman" w:hAnsiTheme="majorHAnsi" w:cstheme="majorHAnsi"/>
          <w:sz w:val="24"/>
          <w:szCs w:val="24"/>
          <w:lang w:val="en-US"/>
        </w:rPr>
      </w:pPr>
      <w:r w:rsidRPr="004243FF">
        <w:br/>
      </w:r>
    </w:p>
    <w:p w14:paraId="4D166206" w14:textId="2FCEC1F6" w:rsidR="004E00F9" w:rsidRPr="004E00F9" w:rsidRDefault="004E00F9" w:rsidP="00B13C1A">
      <w:pPr>
        <w:spacing w:after="0"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The JM framework should separate three judgments for every potential trigger:</w:t>
      </w:r>
    </w:p>
    <w:p w14:paraId="6EBB5572" w14:textId="77777777" w:rsidR="004E00F9" w:rsidRPr="004E00F9" w:rsidRDefault="004E00F9" w:rsidP="00B13C1A">
      <w:pPr>
        <w:numPr>
          <w:ilvl w:val="0"/>
          <w:numId w:val="3"/>
        </w:num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b/>
          <w:bCs/>
          <w:sz w:val="24"/>
          <w:szCs w:val="24"/>
          <w:lang w:val="en-US"/>
        </w:rPr>
        <w:t>Outside the tested envelope?</w:t>
      </w:r>
    </w:p>
    <w:p w14:paraId="23C9EB61" w14:textId="77777777" w:rsidR="004E00F9" w:rsidRPr="004E00F9" w:rsidRDefault="004E00F9" w:rsidP="00B13C1A">
      <w:pPr>
        <w:numPr>
          <w:ilvl w:val="0"/>
          <w:numId w:val="3"/>
        </w:num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b/>
          <w:bCs/>
          <w:sz w:val="24"/>
          <w:szCs w:val="24"/>
          <w:lang w:val="en-US"/>
        </w:rPr>
        <w:t>What is the resulting stock or management risk?</w:t>
      </w:r>
    </w:p>
    <w:p w14:paraId="1457B08C" w14:textId="77777777" w:rsidR="004E00F9" w:rsidRPr="004E00F9" w:rsidRDefault="004E00F9" w:rsidP="00B13C1A">
      <w:pPr>
        <w:numPr>
          <w:ilvl w:val="0"/>
          <w:numId w:val="3"/>
        </w:num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b/>
          <w:bCs/>
          <w:sz w:val="24"/>
          <w:szCs w:val="24"/>
          <w:lang w:val="en-US"/>
        </w:rPr>
        <w:t>How much does it influence the MP recommendation?</w:t>
      </w:r>
    </w:p>
    <w:p w14:paraId="031CA934" w14:textId="77777777" w:rsidR="004E00F9" w:rsidRPr="004E00F9" w:rsidRDefault="004E00F9" w:rsidP="00B13C1A">
      <w:p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This avoids treating every unusual observation as a crisis while ensuring that a benign-looking observation is investigated when it strongly affects the TAC.</w:t>
      </w:r>
    </w:p>
    <w:p w14:paraId="7D93E829" w14:textId="77777777" w:rsidR="004E00F9" w:rsidRPr="004E00F9" w:rsidRDefault="004E00F9" w:rsidP="00B13C1A">
      <w:p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An annual JM exceptional-circumstances review could examine:</w:t>
      </w:r>
    </w:p>
    <w:p w14:paraId="2E3E568C" w14:textId="77777777" w:rsidR="004E00F9" w:rsidRPr="004E00F9" w:rsidRDefault="004E00F9" w:rsidP="00B13C1A">
      <w:pPr>
        <w:numPr>
          <w:ilvl w:val="0"/>
          <w:numId w:val="4"/>
        </w:num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Stock and fishery indicators.</w:t>
      </w:r>
    </w:p>
    <w:p w14:paraId="288B07C3" w14:textId="77777777" w:rsidR="004E00F9" w:rsidRPr="004E00F9" w:rsidRDefault="004E00F9" w:rsidP="00B13C1A">
      <w:pPr>
        <w:numPr>
          <w:ilvl w:val="0"/>
          <w:numId w:val="4"/>
        </w:num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Availability, quality, precision, and methodological consistency of MP inputs.</w:t>
      </w:r>
    </w:p>
    <w:p w14:paraId="78B58194" w14:textId="77777777" w:rsidR="004E00F9" w:rsidRPr="004E00F9" w:rsidRDefault="004E00F9" w:rsidP="00B13C1A">
      <w:pPr>
        <w:numPr>
          <w:ilvl w:val="0"/>
          <w:numId w:val="4"/>
        </w:num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New information about recruitment, productivity, natural mortality, or stock structure.</w:t>
      </w:r>
    </w:p>
    <w:p w14:paraId="6638FE61" w14:textId="77777777" w:rsidR="004E00F9" w:rsidRPr="004E00F9" w:rsidRDefault="004E00F9" w:rsidP="00B13C1A">
      <w:pPr>
        <w:numPr>
          <w:ilvl w:val="0"/>
          <w:numId w:val="4"/>
        </w:num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Changes in fleet behavior, fishing areas, selectivity, or monitoring coverage.</w:t>
      </w:r>
    </w:p>
    <w:p w14:paraId="3383B391" w14:textId="77777777" w:rsidR="004E00F9" w:rsidRPr="004E00F9" w:rsidRDefault="004E00F9" w:rsidP="00B13C1A">
      <w:pPr>
        <w:numPr>
          <w:ilvl w:val="0"/>
          <w:numId w:val="4"/>
        </w:num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Catch and other removals relative to the recommended TAC and tested assumptions.</w:t>
      </w:r>
    </w:p>
    <w:p w14:paraId="5E8CA3D5" w14:textId="77777777" w:rsidR="004E00F9" w:rsidRPr="004E00F9" w:rsidRDefault="004E00F9" w:rsidP="00B13C1A">
      <w:pPr>
        <w:numPr>
          <w:ilvl w:val="0"/>
          <w:numId w:val="4"/>
        </w:num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Whether observed indicators remain within OM-generated predictive ranges.</w:t>
      </w:r>
    </w:p>
    <w:p w14:paraId="5475FA45" w14:textId="77777777" w:rsidR="004E00F9" w:rsidRPr="004E00F9" w:rsidRDefault="004E00F9" w:rsidP="00B13C1A">
      <w:pPr>
        <w:numPr>
          <w:ilvl w:val="0"/>
          <w:numId w:val="4"/>
        </w:num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Whether the MP is behaving consistently with its intended yield, safety, and stability objectives.</w:t>
      </w:r>
    </w:p>
    <w:p w14:paraId="4D0F0561" w14:textId="77777777" w:rsidR="004E00F9" w:rsidRPr="004E00F9" w:rsidRDefault="004E00F9" w:rsidP="00B13C1A">
      <w:p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For each item, the Working Group could record:</w:t>
      </w:r>
    </w:p>
    <w:tbl>
      <w:tblPr>
        <w:tblW w:w="0" w:type="auto"/>
        <w:tblCellSpacing w:w="15" w:type="dxa"/>
        <w:tblBorders>
          <w:insideH w:val="single" w:sz="2" w:space="0" w:color="1F3864" w:themeColor="accent1" w:themeShade="80"/>
          <w:insideV w:val="single" w:sz="2" w:space="0" w:color="1F3864" w:themeColor="accent1" w:themeShade="80"/>
        </w:tblBorders>
        <w:tblLook w:val="04A0" w:firstRow="1" w:lastRow="0" w:firstColumn="1" w:lastColumn="0" w:noHBand="0" w:noVBand="1"/>
      </w:tblPr>
      <w:tblGrid>
        <w:gridCol w:w="3656"/>
        <w:gridCol w:w="5982"/>
      </w:tblGrid>
      <w:tr w:rsidR="004E00F9" w:rsidRPr="004E00F9" w14:paraId="43CBE0D3" w14:textId="77777777" w:rsidTr="00C94CE4">
        <w:trPr>
          <w:tblHeader/>
          <w:tblCellSpacing w:w="15" w:type="dxa"/>
        </w:trPr>
        <w:tc>
          <w:tcPr>
            <w:tcW w:w="0" w:type="auto"/>
            <w:shd w:val="clear" w:color="auto" w:fill="1F3864" w:themeFill="accent1" w:themeFillShade="80"/>
            <w:tcMar>
              <w:top w:w="15" w:type="dxa"/>
              <w:left w:w="15" w:type="dxa"/>
              <w:bottom w:w="15" w:type="dxa"/>
              <w:right w:w="15" w:type="dxa"/>
            </w:tcMar>
            <w:vAlign w:val="center"/>
            <w:hideMark/>
          </w:tcPr>
          <w:p w14:paraId="544E2BAF" w14:textId="77777777" w:rsidR="004E00F9" w:rsidRPr="004E00F9" w:rsidRDefault="004E00F9" w:rsidP="00B13C1A">
            <w:pPr>
              <w:spacing w:after="0" w:line="240" w:lineRule="auto"/>
              <w:jc w:val="both"/>
              <w:rPr>
                <w:rFonts w:asciiTheme="majorHAnsi" w:eastAsia="Times New Roman" w:hAnsiTheme="majorHAnsi" w:cstheme="majorHAnsi"/>
                <w:b/>
                <w:bCs/>
                <w:sz w:val="24"/>
                <w:szCs w:val="24"/>
                <w:lang w:val="en-US"/>
              </w:rPr>
            </w:pPr>
            <w:r w:rsidRPr="004E00F9">
              <w:rPr>
                <w:rFonts w:asciiTheme="majorHAnsi" w:eastAsia="Times New Roman" w:hAnsiTheme="majorHAnsi" w:cstheme="majorHAnsi"/>
                <w:b/>
                <w:bCs/>
                <w:sz w:val="24"/>
                <w:szCs w:val="24"/>
                <w:lang w:val="en-US"/>
              </w:rPr>
              <w:t>Question</w:t>
            </w:r>
          </w:p>
        </w:tc>
        <w:tc>
          <w:tcPr>
            <w:tcW w:w="0" w:type="auto"/>
            <w:shd w:val="clear" w:color="auto" w:fill="1F3864" w:themeFill="accent1" w:themeFillShade="80"/>
            <w:tcMar>
              <w:top w:w="15" w:type="dxa"/>
              <w:left w:w="15" w:type="dxa"/>
              <w:bottom w:w="15" w:type="dxa"/>
              <w:right w:w="15" w:type="dxa"/>
            </w:tcMar>
            <w:vAlign w:val="center"/>
            <w:hideMark/>
          </w:tcPr>
          <w:p w14:paraId="55EEC36C" w14:textId="77777777" w:rsidR="004E00F9" w:rsidRPr="004E00F9" w:rsidRDefault="004E00F9" w:rsidP="00B13C1A">
            <w:pPr>
              <w:spacing w:after="0" w:line="240" w:lineRule="auto"/>
              <w:jc w:val="both"/>
              <w:rPr>
                <w:rFonts w:asciiTheme="majorHAnsi" w:eastAsia="Times New Roman" w:hAnsiTheme="majorHAnsi" w:cstheme="majorHAnsi"/>
                <w:b/>
                <w:bCs/>
                <w:sz w:val="24"/>
                <w:szCs w:val="24"/>
                <w:lang w:val="en-US"/>
              </w:rPr>
            </w:pPr>
            <w:r w:rsidRPr="004E00F9">
              <w:rPr>
                <w:rFonts w:asciiTheme="majorHAnsi" w:eastAsia="Times New Roman" w:hAnsiTheme="majorHAnsi" w:cstheme="majorHAnsi"/>
                <w:b/>
                <w:bCs/>
                <w:sz w:val="24"/>
                <w:szCs w:val="24"/>
                <w:lang w:val="en-US"/>
              </w:rPr>
              <w:t>Finding</w:t>
            </w:r>
          </w:p>
        </w:tc>
      </w:tr>
      <w:tr w:rsidR="004E00F9" w:rsidRPr="004E00F9" w14:paraId="24DB9613" w14:textId="77777777" w:rsidTr="00C94CE4">
        <w:trPr>
          <w:tblCellSpacing w:w="15" w:type="dxa"/>
        </w:trPr>
        <w:tc>
          <w:tcPr>
            <w:tcW w:w="0" w:type="auto"/>
            <w:tcMar>
              <w:top w:w="15" w:type="dxa"/>
              <w:left w:w="15" w:type="dxa"/>
              <w:bottom w:w="15" w:type="dxa"/>
              <w:right w:w="15" w:type="dxa"/>
            </w:tcMar>
            <w:vAlign w:val="center"/>
            <w:hideMark/>
          </w:tcPr>
          <w:p w14:paraId="7F7CC947" w14:textId="77777777" w:rsidR="004E00F9" w:rsidRPr="004E00F9" w:rsidRDefault="004E00F9" w:rsidP="00B13C1A">
            <w:pPr>
              <w:spacing w:after="0"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Is it outside the MSE-tested range?</w:t>
            </w:r>
          </w:p>
        </w:tc>
        <w:tc>
          <w:tcPr>
            <w:tcW w:w="0" w:type="auto"/>
            <w:tcMar>
              <w:top w:w="15" w:type="dxa"/>
              <w:left w:w="15" w:type="dxa"/>
              <w:bottom w:w="15" w:type="dxa"/>
              <w:right w:w="15" w:type="dxa"/>
            </w:tcMar>
            <w:vAlign w:val="center"/>
            <w:hideMark/>
          </w:tcPr>
          <w:p w14:paraId="7142A5B2" w14:textId="77777777" w:rsidR="004E00F9" w:rsidRPr="004E00F9" w:rsidRDefault="004E00F9" w:rsidP="00B13C1A">
            <w:pPr>
              <w:spacing w:after="0"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Yes, no, or uncertain</w:t>
            </w:r>
          </w:p>
        </w:tc>
      </w:tr>
      <w:tr w:rsidR="004E00F9" w:rsidRPr="004E00F9" w14:paraId="3F0C95BD" w14:textId="77777777" w:rsidTr="00C94CE4">
        <w:trPr>
          <w:tblCellSpacing w:w="15" w:type="dxa"/>
        </w:trPr>
        <w:tc>
          <w:tcPr>
            <w:tcW w:w="0" w:type="auto"/>
            <w:tcMar>
              <w:top w:w="15" w:type="dxa"/>
              <w:left w:w="15" w:type="dxa"/>
              <w:bottom w:w="15" w:type="dxa"/>
              <w:right w:w="15" w:type="dxa"/>
            </w:tcMar>
            <w:vAlign w:val="center"/>
            <w:hideMark/>
          </w:tcPr>
          <w:p w14:paraId="17192CD9" w14:textId="77777777" w:rsidR="004E00F9" w:rsidRPr="004E00F9" w:rsidRDefault="004E00F9" w:rsidP="00B13C1A">
            <w:pPr>
              <w:spacing w:after="0"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Is the departure explained?</w:t>
            </w:r>
          </w:p>
        </w:tc>
        <w:tc>
          <w:tcPr>
            <w:tcW w:w="0" w:type="auto"/>
            <w:tcMar>
              <w:top w:w="15" w:type="dxa"/>
              <w:left w:w="15" w:type="dxa"/>
              <w:bottom w:w="15" w:type="dxa"/>
              <w:right w:w="15" w:type="dxa"/>
            </w:tcMar>
            <w:vAlign w:val="center"/>
            <w:hideMark/>
          </w:tcPr>
          <w:p w14:paraId="3BDA416C" w14:textId="77777777" w:rsidR="004E00F9" w:rsidRPr="004E00F9" w:rsidRDefault="004E00F9" w:rsidP="00B13C1A">
            <w:pPr>
              <w:spacing w:after="0"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Scientific or operational explanation</w:t>
            </w:r>
          </w:p>
        </w:tc>
      </w:tr>
      <w:tr w:rsidR="004E00F9" w:rsidRPr="004E00F9" w14:paraId="69D805C4" w14:textId="77777777" w:rsidTr="00C94CE4">
        <w:trPr>
          <w:tblCellSpacing w:w="15" w:type="dxa"/>
        </w:trPr>
        <w:tc>
          <w:tcPr>
            <w:tcW w:w="0" w:type="auto"/>
            <w:tcMar>
              <w:top w:w="15" w:type="dxa"/>
              <w:left w:w="15" w:type="dxa"/>
              <w:bottom w:w="15" w:type="dxa"/>
              <w:right w:w="15" w:type="dxa"/>
            </w:tcMar>
            <w:vAlign w:val="center"/>
            <w:hideMark/>
          </w:tcPr>
          <w:p w14:paraId="60D954C4" w14:textId="77777777" w:rsidR="004E00F9" w:rsidRPr="004E00F9" w:rsidRDefault="004E00F9" w:rsidP="00B13C1A">
            <w:pPr>
              <w:spacing w:after="0"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What is the stock-risk implication?</w:t>
            </w:r>
          </w:p>
        </w:tc>
        <w:tc>
          <w:tcPr>
            <w:tcW w:w="0" w:type="auto"/>
            <w:tcMar>
              <w:top w:w="15" w:type="dxa"/>
              <w:left w:w="15" w:type="dxa"/>
              <w:bottom w:w="15" w:type="dxa"/>
              <w:right w:w="15" w:type="dxa"/>
            </w:tcMar>
            <w:vAlign w:val="center"/>
            <w:hideMark/>
          </w:tcPr>
          <w:p w14:paraId="0C95CCA1" w14:textId="77777777" w:rsidR="004E00F9" w:rsidRPr="004E00F9" w:rsidRDefault="004E00F9" w:rsidP="00B13C1A">
            <w:pPr>
              <w:spacing w:after="0"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Low, moderate, or high</w:t>
            </w:r>
          </w:p>
        </w:tc>
      </w:tr>
      <w:tr w:rsidR="004E00F9" w:rsidRPr="004E00F9" w14:paraId="37320E6E" w14:textId="77777777" w:rsidTr="00C94CE4">
        <w:trPr>
          <w:tblCellSpacing w:w="15" w:type="dxa"/>
        </w:trPr>
        <w:tc>
          <w:tcPr>
            <w:tcW w:w="0" w:type="auto"/>
            <w:tcMar>
              <w:top w:w="15" w:type="dxa"/>
              <w:left w:w="15" w:type="dxa"/>
              <w:bottom w:w="15" w:type="dxa"/>
              <w:right w:w="15" w:type="dxa"/>
            </w:tcMar>
            <w:vAlign w:val="center"/>
            <w:hideMark/>
          </w:tcPr>
          <w:p w14:paraId="1F6222C5" w14:textId="77777777" w:rsidR="004E00F9" w:rsidRPr="004E00F9" w:rsidRDefault="004E00F9" w:rsidP="00B13C1A">
            <w:pPr>
              <w:spacing w:after="0"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What is its influence on the TAC?</w:t>
            </w:r>
          </w:p>
        </w:tc>
        <w:tc>
          <w:tcPr>
            <w:tcW w:w="0" w:type="auto"/>
            <w:tcMar>
              <w:top w:w="15" w:type="dxa"/>
              <w:left w:w="15" w:type="dxa"/>
              <w:bottom w:w="15" w:type="dxa"/>
              <w:right w:w="15" w:type="dxa"/>
            </w:tcMar>
            <w:vAlign w:val="center"/>
            <w:hideMark/>
          </w:tcPr>
          <w:p w14:paraId="12DCAEFE" w14:textId="77777777" w:rsidR="004E00F9" w:rsidRPr="004E00F9" w:rsidRDefault="004E00F9" w:rsidP="00B13C1A">
            <w:pPr>
              <w:spacing w:after="0"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Low, moderate, or high</w:t>
            </w:r>
          </w:p>
        </w:tc>
      </w:tr>
      <w:tr w:rsidR="004E00F9" w:rsidRPr="004E00F9" w14:paraId="5CCB9450" w14:textId="77777777" w:rsidTr="00C94CE4">
        <w:trPr>
          <w:tblCellSpacing w:w="15" w:type="dxa"/>
        </w:trPr>
        <w:tc>
          <w:tcPr>
            <w:tcW w:w="0" w:type="auto"/>
            <w:tcMar>
              <w:top w:w="15" w:type="dxa"/>
              <w:left w:w="15" w:type="dxa"/>
              <w:bottom w:w="15" w:type="dxa"/>
              <w:right w:w="15" w:type="dxa"/>
            </w:tcMar>
            <w:vAlign w:val="center"/>
            <w:hideMark/>
          </w:tcPr>
          <w:p w14:paraId="166068BB" w14:textId="77777777" w:rsidR="004E00F9" w:rsidRPr="004E00F9" w:rsidRDefault="004E00F9" w:rsidP="00B13C1A">
            <w:pPr>
              <w:spacing w:after="0"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Is it already covered by a robustness OM?</w:t>
            </w:r>
          </w:p>
        </w:tc>
        <w:tc>
          <w:tcPr>
            <w:tcW w:w="0" w:type="auto"/>
            <w:tcMar>
              <w:top w:w="15" w:type="dxa"/>
              <w:left w:w="15" w:type="dxa"/>
              <w:bottom w:w="15" w:type="dxa"/>
              <w:right w:w="15" w:type="dxa"/>
            </w:tcMar>
            <w:vAlign w:val="center"/>
            <w:hideMark/>
          </w:tcPr>
          <w:p w14:paraId="0B9E8E73" w14:textId="77777777" w:rsidR="004E00F9" w:rsidRPr="004E00F9" w:rsidRDefault="004E00F9" w:rsidP="00B13C1A">
            <w:pPr>
              <w:spacing w:after="0"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Relevant OM or gap</w:t>
            </w:r>
          </w:p>
        </w:tc>
      </w:tr>
      <w:tr w:rsidR="004E00F9" w:rsidRPr="004E00F9" w14:paraId="1DBF96A1" w14:textId="77777777" w:rsidTr="00C94CE4">
        <w:trPr>
          <w:tblCellSpacing w:w="15" w:type="dxa"/>
        </w:trPr>
        <w:tc>
          <w:tcPr>
            <w:tcW w:w="0" w:type="auto"/>
            <w:tcMar>
              <w:top w:w="15" w:type="dxa"/>
              <w:left w:w="15" w:type="dxa"/>
              <w:bottom w:w="15" w:type="dxa"/>
              <w:right w:w="15" w:type="dxa"/>
            </w:tcMar>
            <w:vAlign w:val="center"/>
            <w:hideMark/>
          </w:tcPr>
          <w:p w14:paraId="0905A64B" w14:textId="77777777" w:rsidR="004E00F9" w:rsidRPr="004E00F9" w:rsidRDefault="004E00F9" w:rsidP="00B13C1A">
            <w:pPr>
              <w:spacing w:after="0"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What action is appropriate?</w:t>
            </w:r>
          </w:p>
        </w:tc>
        <w:tc>
          <w:tcPr>
            <w:tcW w:w="0" w:type="auto"/>
            <w:tcMar>
              <w:top w:w="15" w:type="dxa"/>
              <w:left w:w="15" w:type="dxa"/>
              <w:bottom w:w="15" w:type="dxa"/>
              <w:right w:w="15" w:type="dxa"/>
            </w:tcMar>
            <w:vAlign w:val="center"/>
            <w:hideMark/>
          </w:tcPr>
          <w:p w14:paraId="38C94DEF" w14:textId="77777777" w:rsidR="004E00F9" w:rsidRPr="004E00F9" w:rsidRDefault="004E00F9" w:rsidP="00B13C1A">
            <w:pPr>
              <w:spacing w:after="0"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Monitor, investigate, recondition OMs, retune MP, or conduct full MSE</w:t>
            </w:r>
          </w:p>
        </w:tc>
      </w:tr>
    </w:tbl>
    <w:p w14:paraId="5A0258EE" w14:textId="77777777" w:rsidR="004E00F9" w:rsidRPr="004E00F9" w:rsidRDefault="004E00F9" w:rsidP="00B13C1A">
      <w:p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 xml:space="preserve">The predictive bounds and severity categories would need to be agreed for jack mackerel e.g., outside of 95% CPUE bound is an example. </w:t>
      </w:r>
    </w:p>
    <w:p w14:paraId="271A9660" w14:textId="77777777" w:rsidR="004E00F9" w:rsidRPr="004E00F9" w:rsidRDefault="004E00F9" w:rsidP="00B13C1A">
      <w:p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Experience from other examples shows that exceptional-circumstances monitoring should be a structured scientific diagnosis rather than an automatic MP override. The Working Group should distinguish whether an observation lies outside the conditions tested in the MSE, whether it creates resource risk, and whether it materially affects the TAC recommendation. Depending on that diagnosis, the response may range from continued monitoring or targeted investigation to OM reconditioning, MP retuning, or full MSE redevelopment.</w:t>
      </w:r>
    </w:p>
    <w:p w14:paraId="4207BAA4" w14:textId="77777777" w:rsidR="004E00F9" w:rsidRPr="004E00F9" w:rsidRDefault="004E00F9" w:rsidP="007F18CB">
      <w:p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lastRenderedPageBreak/>
        <w:t>This suggests that JM should specify both an annual exceptional-circumstances protocol and a separate schedule for comprehensive MP review before implementation.</w:t>
      </w:r>
    </w:p>
    <w:p w14:paraId="3D8FF048" w14:textId="77777777" w:rsidR="004E00F9" w:rsidRPr="00642201" w:rsidRDefault="004E00F9" w:rsidP="00B13C1A">
      <w:pPr>
        <w:keepNext/>
        <w:keepLines/>
        <w:spacing w:before="160" w:after="80" w:line="276" w:lineRule="auto"/>
        <w:jc w:val="both"/>
        <w:outlineLvl w:val="1"/>
        <w:rPr>
          <w:rFonts w:asciiTheme="majorHAnsi" w:eastAsia="Times New Roman" w:hAnsiTheme="majorHAnsi" w:cstheme="majorHAnsi"/>
          <w:b/>
          <w:bCs/>
          <w:color w:val="1F3864" w:themeColor="accent1" w:themeShade="80"/>
          <w:kern w:val="2"/>
          <w:sz w:val="28"/>
          <w:szCs w:val="28"/>
          <w:lang w:val="en-US"/>
          <w14:ligatures w14:val="standardContextual"/>
        </w:rPr>
      </w:pPr>
      <w:r w:rsidRPr="00642201">
        <w:rPr>
          <w:rFonts w:asciiTheme="majorHAnsi" w:eastAsia="Times New Roman" w:hAnsiTheme="majorHAnsi" w:cstheme="majorHAnsi"/>
          <w:b/>
          <w:bCs/>
          <w:color w:val="1F3864" w:themeColor="accent1" w:themeShade="80"/>
          <w:kern w:val="2"/>
          <w:sz w:val="28"/>
          <w:szCs w:val="28"/>
          <w:lang w:val="en-US"/>
          <w14:ligatures w14:val="standardContextual"/>
        </w:rPr>
        <w:t>Distinguishing from an MP review</w:t>
      </w:r>
    </w:p>
    <w:p w14:paraId="5601D7AA" w14:textId="77777777" w:rsidR="004E00F9" w:rsidRPr="004E00F9" w:rsidRDefault="004E00F9" w:rsidP="00B13C1A">
      <w:p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An MP is intended to balance three broad objectives over the long term:</w:t>
      </w:r>
    </w:p>
    <w:p w14:paraId="1FBB88F9" w14:textId="77777777" w:rsidR="004E00F9" w:rsidRPr="004E00F9" w:rsidRDefault="004E00F9" w:rsidP="00B13C1A">
      <w:pPr>
        <w:numPr>
          <w:ilvl w:val="0"/>
          <w:numId w:val="5"/>
        </w:num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Yield: acceptable catches.</w:t>
      </w:r>
    </w:p>
    <w:p w14:paraId="788287BA" w14:textId="77777777" w:rsidR="004E00F9" w:rsidRPr="004E00F9" w:rsidRDefault="004E00F9" w:rsidP="00B13C1A">
      <w:pPr>
        <w:numPr>
          <w:ilvl w:val="0"/>
          <w:numId w:val="5"/>
        </w:num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Status and safety: low risk to the resource.</w:t>
      </w:r>
    </w:p>
    <w:p w14:paraId="429DF184" w14:textId="77777777" w:rsidR="004E00F9" w:rsidRPr="004E00F9" w:rsidRDefault="004E00F9" w:rsidP="00B13C1A">
      <w:pPr>
        <w:numPr>
          <w:ilvl w:val="0"/>
          <w:numId w:val="5"/>
        </w:num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Stability: limited catch variability.</w:t>
      </w:r>
    </w:p>
    <w:p w14:paraId="4047340A" w14:textId="77777777" w:rsidR="004E00F9" w:rsidRPr="004E00F9" w:rsidRDefault="004E00F9" w:rsidP="00B13C1A">
      <w:p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Robustness comes from testing the MP across operating models representing plausible uncertainties—not merely against the most likely assessment.</w:t>
      </w:r>
    </w:p>
    <w:p w14:paraId="06A42A5E" w14:textId="77777777" w:rsidR="004E00F9" w:rsidRPr="004E00F9" w:rsidRDefault="004E00F9" w:rsidP="00B13C1A">
      <w:p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A scheduled MP review responds to:</w:t>
      </w:r>
    </w:p>
    <w:p w14:paraId="62FA1D9B" w14:textId="77777777" w:rsidR="004E00F9" w:rsidRPr="004E00F9" w:rsidRDefault="004E00F9" w:rsidP="00B13C1A">
      <w:pPr>
        <w:numPr>
          <w:ilvl w:val="0"/>
          <w:numId w:val="6"/>
        </w:num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New monitoring data and updated estimates of stock behavior.</w:t>
      </w:r>
    </w:p>
    <w:p w14:paraId="304EABC3" w14:textId="77777777" w:rsidR="004E00F9" w:rsidRPr="004E00F9" w:rsidRDefault="004E00F9" w:rsidP="00B13C1A">
      <w:pPr>
        <w:numPr>
          <w:ilvl w:val="0"/>
          <w:numId w:val="6"/>
        </w:num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New scientific findings or revised uncertainty.</w:t>
      </w:r>
    </w:p>
    <w:p w14:paraId="55201342" w14:textId="77777777" w:rsidR="004E00F9" w:rsidRPr="004E00F9" w:rsidRDefault="004E00F9" w:rsidP="00B13C1A">
      <w:pPr>
        <w:numPr>
          <w:ilvl w:val="0"/>
          <w:numId w:val="6"/>
        </w:num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Opportunities to improve performance while retaining acceptable risk.</w:t>
      </w:r>
    </w:p>
    <w:p w14:paraId="4A8FA664" w14:textId="77777777" w:rsidR="004E00F9" w:rsidRPr="004E00F9" w:rsidRDefault="004E00F9" w:rsidP="00B13C1A">
      <w:p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The operating models are then revised or reconditioned and the existing MP is retested. Importantly, a review does not presume that the MP must change:</w:t>
      </w:r>
    </w:p>
    <w:p w14:paraId="03EF14E3" w14:textId="77777777" w:rsidR="004E00F9" w:rsidRPr="004E00F9" w:rsidRDefault="004E00F9" w:rsidP="00B13C1A">
      <w:pPr>
        <w:numPr>
          <w:ilvl w:val="0"/>
          <w:numId w:val="7"/>
        </w:num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Retain it if it still meets the agreed objectives.</w:t>
      </w:r>
    </w:p>
    <w:p w14:paraId="0600F1AE" w14:textId="2BEF4D6D" w:rsidR="004E00F9" w:rsidRPr="004E00F9" w:rsidRDefault="004E00F9" w:rsidP="00B13C1A">
      <w:pPr>
        <w:numPr>
          <w:ilvl w:val="0"/>
          <w:numId w:val="7"/>
        </w:num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Retun</w:t>
      </w:r>
      <w:r w:rsidR="00DB05A3">
        <w:rPr>
          <w:rFonts w:asciiTheme="majorHAnsi" w:eastAsia="Times New Roman" w:hAnsiTheme="majorHAnsi" w:cstheme="majorHAnsi"/>
          <w:sz w:val="24"/>
          <w:szCs w:val="24"/>
          <w:lang w:val="en-US"/>
        </w:rPr>
        <w:t>e</w:t>
      </w:r>
      <w:r w:rsidRPr="004E00F9">
        <w:rPr>
          <w:rFonts w:asciiTheme="majorHAnsi" w:eastAsia="Times New Roman" w:hAnsiTheme="majorHAnsi" w:cstheme="majorHAnsi"/>
          <w:sz w:val="24"/>
          <w:szCs w:val="24"/>
          <w:lang w:val="en-US"/>
        </w:rPr>
        <w:t xml:space="preserve"> its parameters if performance is no longer adequate.</w:t>
      </w:r>
    </w:p>
    <w:p w14:paraId="6D444FF0" w14:textId="77777777" w:rsidR="004E00F9" w:rsidRPr="004E00F9" w:rsidRDefault="004E00F9" w:rsidP="00B13C1A">
      <w:pPr>
        <w:numPr>
          <w:ilvl w:val="0"/>
          <w:numId w:val="7"/>
        </w:num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Change its structure only when retuning is insufficient or a clearly better design is justified.</w:t>
      </w:r>
    </w:p>
    <w:p w14:paraId="70BB9F13" w14:textId="77777777" w:rsidR="004E00F9" w:rsidRPr="004E00F9" w:rsidRDefault="004E00F9" w:rsidP="00B13C1A">
      <w:pPr>
        <w:spacing w:before="100" w:beforeAutospacing="1" w:after="100" w:afterAutospacing="1" w:line="240" w:lineRule="auto"/>
        <w:jc w:val="both"/>
        <w:rPr>
          <w:rFonts w:asciiTheme="majorHAnsi" w:eastAsia="Times New Roman" w:hAnsiTheme="majorHAnsi" w:cstheme="majorHAnsi"/>
          <w:sz w:val="24"/>
          <w:szCs w:val="24"/>
          <w:lang w:val="en-US"/>
        </w:rPr>
      </w:pPr>
      <w:r w:rsidRPr="004E00F9">
        <w:rPr>
          <w:rFonts w:asciiTheme="majorHAnsi" w:eastAsia="Times New Roman" w:hAnsiTheme="majorHAnsi" w:cstheme="majorHAnsi"/>
          <w:sz w:val="24"/>
          <w:szCs w:val="24"/>
          <w:lang w:val="en-US"/>
        </w:rPr>
        <w:t>This differs from an exceptional-circumstances check. That is a more frequent check of whether monitoring observations remain within the conditions anticipated by the MSE. An exceptional-circumstances finding may trigger interim action or bring the full MP review forward.</w:t>
      </w:r>
    </w:p>
    <w:p w14:paraId="4E7F9F35" w14:textId="77777777" w:rsidR="004E00F9" w:rsidRPr="004E00F9" w:rsidRDefault="004E00F9" w:rsidP="004C1619">
      <w:pPr>
        <w:spacing w:before="120"/>
        <w:jc w:val="center"/>
        <w:rPr>
          <w:i/>
          <w:iCs/>
          <w:color w:val="1F3864" w:themeColor="accent1" w:themeShade="80"/>
          <w:sz w:val="24"/>
          <w:szCs w:val="24"/>
          <w:lang w:val="en-US"/>
        </w:rPr>
      </w:pPr>
    </w:p>
    <w:p w14:paraId="5181DF1F" w14:textId="71B58340" w:rsidR="004C1619" w:rsidRPr="004C1619" w:rsidRDefault="004C1619" w:rsidP="004C1619">
      <w:pPr>
        <w:rPr>
          <w:b/>
          <w:bCs/>
          <w:lang w:val="en-US"/>
        </w:rPr>
      </w:pPr>
    </w:p>
    <w:bookmarkEnd w:id="0"/>
    <w:bookmarkEnd w:id="1"/>
    <w:p w14:paraId="5DD66C6A" w14:textId="77777777" w:rsidR="008943D9" w:rsidRPr="004C1619" w:rsidRDefault="008943D9" w:rsidP="008943D9">
      <w:pPr>
        <w:rPr>
          <w:lang w:val="en-US"/>
        </w:rPr>
      </w:pPr>
    </w:p>
    <w:sectPr w:rsidR="008943D9" w:rsidRPr="004C1619" w:rsidSect="007F18CB">
      <w:headerReference w:type="default" r:id="rId11"/>
      <w:footerReference w:type="default" r:id="rId12"/>
      <w:headerReference w:type="first" r:id="rId13"/>
      <w:footerReference w:type="first" r:id="rId14"/>
      <w:pgSz w:w="11906" w:h="16838" w:code="9"/>
      <w:pgMar w:top="1440" w:right="1134" w:bottom="851" w:left="1134" w:header="709" w:footer="33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654E3" w14:textId="77777777" w:rsidR="00345BEB" w:rsidRDefault="00345BEB" w:rsidP="00365A2A">
      <w:pPr>
        <w:spacing w:after="0" w:line="240" w:lineRule="auto"/>
      </w:pPr>
      <w:r>
        <w:separator/>
      </w:r>
    </w:p>
  </w:endnote>
  <w:endnote w:type="continuationSeparator" w:id="0">
    <w:p w14:paraId="359BB375" w14:textId="77777777" w:rsidR="00345BEB" w:rsidRDefault="00345BEB" w:rsidP="00365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haroni">
    <w:charset w:val="B1"/>
    <w:family w:val="auto"/>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92DE3" w14:textId="180684FC" w:rsidR="008527C1" w:rsidRDefault="00714AA6" w:rsidP="00A95088">
    <w:pPr>
      <w:pStyle w:val="Footer"/>
      <w:tabs>
        <w:tab w:val="center" w:pos="4476"/>
        <w:tab w:val="right" w:pos="8952"/>
      </w:tabs>
    </w:pPr>
    <w:r w:rsidRPr="00714AA6">
      <w:rPr>
        <w:rFonts w:ascii="Georgia" w:eastAsia="Calibri" w:hAnsi="Georgia" w:cs="Times New Roman"/>
        <w:noProof/>
        <w:color w:val="5F497A"/>
        <w:sz w:val="21"/>
        <w:szCs w:val="21"/>
      </w:rPr>
      <mc:AlternateContent>
        <mc:Choice Requires="wps">
          <w:drawing>
            <wp:anchor distT="45720" distB="45720" distL="114300" distR="114300" simplePos="0" relativeHeight="251669504" behindDoc="0" locked="0" layoutInCell="1" allowOverlap="1" wp14:anchorId="7292B10B" wp14:editId="01B0376E">
              <wp:simplePos x="0" y="0"/>
              <wp:positionH relativeFrom="margin">
                <wp:align>right</wp:align>
              </wp:positionH>
              <wp:positionV relativeFrom="page">
                <wp:posOffset>10001885</wp:posOffset>
              </wp:positionV>
              <wp:extent cx="493200" cy="694800"/>
              <wp:effectExtent l="0" t="0" r="2540" b="0"/>
              <wp:wrapSquare wrapText="bothSides"/>
              <wp:docPr id="9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200" cy="694800"/>
                      </a:xfrm>
                      <a:prstGeom prst="rect">
                        <a:avLst/>
                      </a:prstGeom>
                      <a:solidFill>
                        <a:srgbClr val="1F497D">
                          <a:lumMod val="75000"/>
                        </a:srgbClr>
                      </a:solidFill>
                      <a:ln w="9525">
                        <a:noFill/>
                        <a:miter lim="800000"/>
                        <a:headEnd/>
                        <a:tailEnd/>
                      </a:ln>
                    </wps:spPr>
                    <wps:txbx>
                      <w:txbxContent>
                        <w:p w14:paraId="3DB1F54E" w14:textId="77777777" w:rsidR="00714AA6" w:rsidRPr="00F43122" w:rsidRDefault="00345BEB" w:rsidP="000F389F">
                          <w:pPr>
                            <w:pStyle w:val="Footer"/>
                            <w:spacing w:before="120"/>
                            <w:jc w:val="center"/>
                            <w:rPr>
                              <w:rFonts w:cs="Calibri Light"/>
                              <w:b/>
                              <w:sz w:val="18"/>
                            </w:rPr>
                          </w:pPr>
                          <w:sdt>
                            <w:sdtPr>
                              <w:id w:val="-606281835"/>
                              <w:docPartObj>
                                <w:docPartGallery w:val="Page Numbers (Bottom of Page)"/>
                                <w:docPartUnique/>
                              </w:docPartObj>
                            </w:sdtPr>
                            <w:sdtEndPr>
                              <w:rPr>
                                <w:rFonts w:cs="Calibri Light"/>
                                <w:b/>
                                <w:noProof/>
                                <w:sz w:val="16"/>
                              </w:rPr>
                            </w:sdtEndPr>
                            <w:sdtContent>
                              <w:r w:rsidR="00714AA6" w:rsidRPr="00F43122">
                                <w:rPr>
                                  <w:rFonts w:cs="Calibri Light"/>
                                  <w:b/>
                                  <w:sz w:val="18"/>
                                </w:rPr>
                                <w:fldChar w:fldCharType="begin"/>
                              </w:r>
                              <w:r w:rsidR="00714AA6" w:rsidRPr="00F43122">
                                <w:rPr>
                                  <w:rFonts w:cs="Calibri Light"/>
                                  <w:b/>
                                  <w:sz w:val="18"/>
                                </w:rPr>
                                <w:instrText xml:space="preserve"> PAGE   \* MERGEFORMAT </w:instrText>
                              </w:r>
                              <w:r w:rsidR="00714AA6" w:rsidRPr="00F43122">
                                <w:rPr>
                                  <w:rFonts w:cs="Calibri Light"/>
                                  <w:b/>
                                  <w:sz w:val="18"/>
                                </w:rPr>
                                <w:fldChar w:fldCharType="separate"/>
                              </w:r>
                              <w:r w:rsidR="00714AA6" w:rsidRPr="00F43122">
                                <w:rPr>
                                  <w:rFonts w:cs="Calibri Light"/>
                                  <w:b/>
                                  <w:sz w:val="18"/>
                                </w:rPr>
                                <w:t>4</w:t>
                              </w:r>
                              <w:r w:rsidR="00714AA6" w:rsidRPr="00F43122">
                                <w:rPr>
                                  <w:rFonts w:cs="Calibri Light"/>
                                  <w:b/>
                                  <w:noProof/>
                                  <w:sz w:val="18"/>
                                </w:rPr>
                                <w:fldChar w:fldCharType="end"/>
                              </w:r>
                            </w:sdtContent>
                          </w:sdt>
                        </w:p>
                        <w:p w14:paraId="6F1C7B96" w14:textId="77777777" w:rsidR="00714AA6" w:rsidRPr="001F4744" w:rsidRDefault="00714AA6" w:rsidP="00714AA6">
                          <w:pPr>
                            <w:spacing w:after="0"/>
                            <w:jc w:val="right"/>
                            <w:rPr>
                              <w:rFonts w:cs="Calibri Light"/>
                              <w:b/>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92B10B" id="_x0000_t202" coordsize="21600,21600" o:spt="202" path="m,l,21600r21600,l21600,xe">
              <v:stroke joinstyle="miter"/>
              <v:path gradientshapeok="t" o:connecttype="rect"/>
            </v:shapetype>
            <v:shape id="Text Box 96" o:spid="_x0000_s1027" type="#_x0000_t202" style="position:absolute;margin-left:-12.35pt;margin-top:787.55pt;width:38.85pt;height:54.7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" fillcolor="#17375e" stroked="f">
              <v:textbox>
                <w:txbxContent>
                  <w:p w14:paraId="3DB1F54E" w14:textId="77777777" w:rsidR="00714AA6" w:rsidRPr="00F43122" w:rsidRDefault="00345BEB" w:rsidP="000F389F">
                    <w:pPr>
                      <w:pStyle w:val="Footer"/>
                      <w:spacing w:before="120"/>
                      <w:jc w:val="center"/>
                      <w:rPr>
                        <w:rFonts w:cs="Calibri Light"/>
                        <w:b/>
                        <w:sz w:val="18"/>
                      </w:rPr>
                    </w:pPr>
                    <w:sdt>
                      <w:sdtPr>
                        <w:id w:val="-606281835"/>
                        <w:docPartObj>
                          <w:docPartGallery w:val="Page Numbers (Bottom of Page)"/>
                          <w:docPartUnique/>
                        </w:docPartObj>
                      </w:sdtPr>
                      <w:sdtEndPr>
                        <w:rPr>
                          <w:rFonts w:cs="Calibri Light"/>
                          <w:b/>
                          <w:noProof/>
                          <w:sz w:val="16"/>
                        </w:rPr>
                      </w:sdtEndPr>
                      <w:sdtContent>
                        <w:r w:rsidR="00714AA6" w:rsidRPr="00F43122">
                          <w:rPr>
                            <w:rFonts w:cs="Calibri Light"/>
                            <w:b/>
                            <w:sz w:val="18"/>
                          </w:rPr>
                          <w:fldChar w:fldCharType="begin"/>
                        </w:r>
                        <w:r w:rsidR="00714AA6" w:rsidRPr="00F43122">
                          <w:rPr>
                            <w:rFonts w:cs="Calibri Light"/>
                            <w:b/>
                            <w:sz w:val="18"/>
                          </w:rPr>
                          <w:instrText xml:space="preserve"> PAGE   \* MERGEFORMAT </w:instrText>
                        </w:r>
                        <w:r w:rsidR="00714AA6" w:rsidRPr="00F43122">
                          <w:rPr>
                            <w:rFonts w:cs="Calibri Light"/>
                            <w:b/>
                            <w:sz w:val="18"/>
                          </w:rPr>
                          <w:fldChar w:fldCharType="separate"/>
                        </w:r>
                        <w:r w:rsidR="00714AA6" w:rsidRPr="00F43122">
                          <w:rPr>
                            <w:rFonts w:cs="Calibri Light"/>
                            <w:b/>
                            <w:sz w:val="18"/>
                          </w:rPr>
                          <w:t>4</w:t>
                        </w:r>
                        <w:r w:rsidR="00714AA6" w:rsidRPr="00F43122">
                          <w:rPr>
                            <w:rFonts w:cs="Calibri Light"/>
                            <w:b/>
                            <w:noProof/>
                            <w:sz w:val="18"/>
                          </w:rPr>
                          <w:fldChar w:fldCharType="end"/>
                        </w:r>
                      </w:sdtContent>
                    </w:sdt>
                  </w:p>
                  <w:p w14:paraId="6F1C7B96" w14:textId="77777777" w:rsidR="00714AA6" w:rsidRPr="001F4744" w:rsidRDefault="00714AA6" w:rsidP="00714AA6">
                    <w:pPr>
                      <w:spacing w:after="0"/>
                      <w:jc w:val="right"/>
                      <w:rPr>
                        <w:rFonts w:cs="Calibri Light"/>
                        <w:b/>
                        <w:sz w:val="20"/>
                      </w:rPr>
                    </w:pPr>
                  </w:p>
                </w:txbxContent>
              </v:textbox>
              <w10:wrap type="square"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23BD7" w14:textId="77777777" w:rsidR="00556653" w:rsidRPr="008527C1" w:rsidRDefault="00556653" w:rsidP="00991F77">
    <w:pPr>
      <w:pStyle w:val="Footer"/>
      <w:pBdr>
        <w:top w:val="single" w:sz="2" w:space="1" w:color="1F3864" w:themeColor="accent1" w:themeShade="80"/>
      </w:pBdr>
      <w:jc w:val="center"/>
      <w:rPr>
        <w:rFonts w:asciiTheme="majorHAnsi" w:hAnsiTheme="majorHAnsi" w:cstheme="majorHAnsi"/>
        <w:sz w:val="16"/>
        <w:szCs w:val="16"/>
      </w:rPr>
    </w:pPr>
    <w:bookmarkStart w:id="2" w:name="_Hlk523915792"/>
    <w:bookmarkStart w:id="3" w:name="_Hlk523915793"/>
    <w:r w:rsidRPr="008527C1">
      <w:rPr>
        <w:rFonts w:asciiTheme="majorHAnsi" w:hAnsiTheme="majorHAnsi" w:cstheme="majorHAnsi"/>
        <w:sz w:val="16"/>
        <w:szCs w:val="16"/>
      </w:rPr>
      <w:t>PO Box 3797, Wellington 6140, New Zealand</w:t>
    </w:r>
  </w:p>
  <w:p w14:paraId="5A9AAD70" w14:textId="4073069B" w:rsidR="00556653" w:rsidRPr="00BE13D3" w:rsidRDefault="00556653" w:rsidP="00E15F33">
    <w:pPr>
      <w:pStyle w:val="Footer"/>
      <w:jc w:val="center"/>
      <w:rPr>
        <w:rFonts w:asciiTheme="majorHAnsi" w:hAnsiTheme="majorHAnsi" w:cstheme="majorHAnsi"/>
        <w:color w:val="1F3864" w:themeColor="accent1" w:themeShade="80"/>
        <w:sz w:val="16"/>
        <w:szCs w:val="16"/>
      </w:rPr>
    </w:pPr>
    <w:r w:rsidRPr="00BE13D3">
      <w:rPr>
        <w:rFonts w:asciiTheme="majorHAnsi" w:hAnsiTheme="majorHAnsi" w:cstheme="majorHAnsi"/>
        <w:sz w:val="16"/>
        <w:szCs w:val="16"/>
      </w:rPr>
      <w:t>P: +64 4 499 98</w:t>
    </w:r>
    <w:r w:rsidR="00E15F33" w:rsidRPr="00BE13D3">
      <w:rPr>
        <w:rFonts w:asciiTheme="majorHAnsi" w:hAnsiTheme="majorHAnsi" w:cstheme="majorHAnsi"/>
        <w:sz w:val="16"/>
        <w:szCs w:val="16"/>
      </w:rPr>
      <w:t>93</w:t>
    </w:r>
    <w:r w:rsidRPr="00BE13D3">
      <w:rPr>
        <w:rFonts w:asciiTheme="majorHAnsi" w:hAnsiTheme="majorHAnsi" w:cstheme="majorHAnsi"/>
        <w:sz w:val="16"/>
        <w:szCs w:val="16"/>
      </w:rPr>
      <w:t xml:space="preserve"> – E: </w:t>
    </w:r>
    <w:hyperlink r:id="rId1" w:history="1">
      <w:r w:rsidRPr="00BE13D3">
        <w:rPr>
          <w:rStyle w:val="Hyperlink"/>
          <w:rFonts w:asciiTheme="majorHAnsi" w:hAnsiTheme="majorHAnsi" w:cstheme="majorHAnsi"/>
          <w:color w:val="1F3864" w:themeColor="accent1" w:themeShade="80"/>
          <w:sz w:val="16"/>
          <w:szCs w:val="16"/>
        </w:rPr>
        <w:t>secretariat@sprfmo.int</w:t>
      </w:r>
    </w:hyperlink>
    <w:r w:rsidR="00E15F33" w:rsidRPr="00BE13D3">
      <w:rPr>
        <w:rFonts w:asciiTheme="majorHAnsi" w:hAnsiTheme="majorHAnsi" w:cstheme="majorHAnsi"/>
        <w:sz w:val="16"/>
        <w:szCs w:val="16"/>
      </w:rPr>
      <w:t xml:space="preserve"> – </w:t>
    </w:r>
    <w:hyperlink r:id="rId2" w:history="1">
      <w:r w:rsidR="00E15F33" w:rsidRPr="00BE13D3">
        <w:rPr>
          <w:rStyle w:val="Hyperlink"/>
          <w:rFonts w:asciiTheme="majorHAnsi" w:hAnsiTheme="majorHAnsi" w:cstheme="majorHAnsi"/>
          <w:sz w:val="16"/>
          <w:szCs w:val="16"/>
        </w:rPr>
        <w:t>www.sprfmo.int</w:t>
      </w:r>
    </w:hyperlink>
    <w:r w:rsidRPr="00BE13D3">
      <w:rPr>
        <w:rFonts w:asciiTheme="majorHAnsi" w:hAnsiTheme="majorHAnsi" w:cstheme="majorHAnsi"/>
        <w:color w:val="1F3864" w:themeColor="accent1" w:themeShade="80"/>
        <w:sz w:val="16"/>
        <w:szCs w:val="16"/>
      </w:rPr>
      <w:t xml:space="preserve"> </w:t>
    </w:r>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11347" w14:textId="77777777" w:rsidR="00345BEB" w:rsidRDefault="00345BEB" w:rsidP="00365A2A">
      <w:pPr>
        <w:spacing w:after="0" w:line="240" w:lineRule="auto"/>
      </w:pPr>
      <w:r>
        <w:separator/>
      </w:r>
    </w:p>
  </w:footnote>
  <w:footnote w:type="continuationSeparator" w:id="0">
    <w:p w14:paraId="5252347C" w14:textId="77777777" w:rsidR="00345BEB" w:rsidRDefault="00345BEB" w:rsidP="00365A2A">
      <w:pPr>
        <w:spacing w:after="0" w:line="240" w:lineRule="auto"/>
      </w:pPr>
      <w:r>
        <w:continuationSeparator/>
      </w:r>
    </w:p>
  </w:footnote>
  <w:footnote w:type="continuationNotice" w:id="1">
    <w:p w14:paraId="3FE7F41C" w14:textId="77777777" w:rsidR="00345BEB" w:rsidRPr="00F31C35" w:rsidRDefault="00345BEB" w:rsidP="00F31C35">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0F3E6" w14:textId="072F8063" w:rsidR="003519B8" w:rsidRDefault="000F389F" w:rsidP="003519B8">
    <w:pPr>
      <w:pStyle w:val="Header"/>
      <w:jc w:val="right"/>
    </w:pPr>
    <w:r w:rsidRPr="001F4744">
      <w:rPr>
        <w:noProof/>
        <w:color w:val="BF8F00" w:themeColor="accent4" w:themeShade="BF"/>
        <w:sz w:val="21"/>
        <w:szCs w:val="21"/>
      </w:rPr>
      <mc:AlternateContent>
        <mc:Choice Requires="wps">
          <w:drawing>
            <wp:anchor distT="45720" distB="45720" distL="114300" distR="114300" simplePos="0" relativeHeight="251671552" behindDoc="0" locked="0" layoutInCell="1" allowOverlap="1" wp14:anchorId="06613B03" wp14:editId="3E19DFEC">
              <wp:simplePos x="0" y="0"/>
              <wp:positionH relativeFrom="margin">
                <wp:align>right</wp:align>
              </wp:positionH>
              <wp:positionV relativeFrom="page">
                <wp:posOffset>191135</wp:posOffset>
              </wp:positionV>
              <wp:extent cx="2023200" cy="417600"/>
              <wp:effectExtent l="0" t="0" r="0" b="190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3200" cy="417600"/>
                      </a:xfrm>
                      <a:prstGeom prst="rect">
                        <a:avLst/>
                      </a:prstGeom>
                      <a:solidFill>
                        <a:schemeClr val="accent1">
                          <a:lumMod val="50000"/>
                        </a:schemeClr>
                      </a:solidFill>
                      <a:ln w="9525">
                        <a:noFill/>
                        <a:miter lim="800000"/>
                        <a:headEnd/>
                        <a:tailEnd/>
                      </a:ln>
                    </wps:spPr>
                    <wps:txbx>
                      <w:txbxContent>
                        <w:p w14:paraId="09BD98FF" w14:textId="73CE73B9" w:rsidR="00B82719" w:rsidRDefault="003519B8" w:rsidP="003C3DAA">
                          <w:pPr>
                            <w:spacing w:after="0" w:line="240" w:lineRule="auto"/>
                            <w:jc w:val="right"/>
                            <w:rPr>
                              <w:rFonts w:cs="Calibri Light"/>
                              <w:b/>
                              <w:sz w:val="20"/>
                            </w:rPr>
                          </w:pPr>
                          <w:r>
                            <w:rPr>
                              <w:rFonts w:cs="Calibri Light"/>
                              <w:b/>
                              <w:sz w:val="20"/>
                            </w:rPr>
                            <w:t>SC</w:t>
                          </w:r>
                          <w:r w:rsidR="00627200">
                            <w:rPr>
                              <w:rFonts w:cs="Calibri Light"/>
                              <w:b/>
                              <w:sz w:val="20"/>
                            </w:rPr>
                            <w:t>1</w:t>
                          </w:r>
                          <w:r w:rsidR="0013479A">
                            <w:rPr>
                              <w:rFonts w:cs="Calibri Light"/>
                              <w:b/>
                              <w:sz w:val="20"/>
                            </w:rPr>
                            <w:t>4</w:t>
                          </w:r>
                          <w:r w:rsidR="007F04A9">
                            <w:rPr>
                              <w:rFonts w:cs="Calibri Light"/>
                              <w:b/>
                              <w:sz w:val="20"/>
                            </w:rPr>
                            <w:t>-</w:t>
                          </w:r>
                          <w:r w:rsidR="00F02A31">
                            <w:rPr>
                              <w:rFonts w:cs="Calibri Light"/>
                              <w:b/>
                              <w:sz w:val="20"/>
                            </w:rPr>
                            <w:t>Report Annex 11</w:t>
                          </w:r>
                        </w:p>
                        <w:p w14:paraId="43146522" w14:textId="5509076B" w:rsidR="000F389F" w:rsidRPr="00B82719" w:rsidRDefault="00212A2F" w:rsidP="003C3DAA">
                          <w:pPr>
                            <w:spacing w:after="0" w:line="240" w:lineRule="auto"/>
                            <w:jc w:val="right"/>
                            <w:rPr>
                              <w:rFonts w:cs="Calibri Light"/>
                              <w:bCs/>
                              <w:i/>
                              <w:iCs/>
                              <w:sz w:val="20"/>
                            </w:rPr>
                          </w:pPr>
                          <w:r>
                            <w:rPr>
                              <w:rFonts w:cs="Calibri Light"/>
                              <w:bCs/>
                              <w:i/>
                              <w:iCs/>
                              <w:sz w:val="20"/>
                            </w:rPr>
                            <w:t>Exceptional circumstances JM MSE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6613B03" id="_x0000_t202" coordsize="21600,21600" o:spt="202" path="m,l,21600r21600,l21600,xe">
              <v:stroke joinstyle="miter"/>
              <v:path gradientshapeok="t" o:connecttype="rect"/>
            </v:shapetype>
            <v:shape id="Text Box 2" o:spid="_x0000_s1026" type="#_x0000_t202" style="position:absolute;left:0;text-align:left;margin-left:108.1pt;margin-top:15.05pt;width:159.3pt;height:32.9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" fillcolor="#1f3763 [1604]" stroked="f">
              <v:textbox>
                <w:txbxContent>
                  <w:p w14:paraId="09BD98FF" w14:textId="73CE73B9" w:rsidR="00B82719" w:rsidRDefault="003519B8" w:rsidP="003C3DAA">
                    <w:pPr>
                      <w:spacing w:after="0" w:line="240" w:lineRule="auto"/>
                      <w:jc w:val="right"/>
                      <w:rPr>
                        <w:rFonts w:cs="Calibri Light"/>
                        <w:b/>
                        <w:sz w:val="20"/>
                      </w:rPr>
                    </w:pPr>
                    <w:r>
                      <w:rPr>
                        <w:rFonts w:cs="Calibri Light"/>
                        <w:b/>
                        <w:sz w:val="20"/>
                      </w:rPr>
                      <w:t>SC</w:t>
                    </w:r>
                    <w:r w:rsidR="00627200">
                      <w:rPr>
                        <w:rFonts w:cs="Calibri Light"/>
                        <w:b/>
                        <w:sz w:val="20"/>
                      </w:rPr>
                      <w:t>1</w:t>
                    </w:r>
                    <w:r w:rsidR="0013479A">
                      <w:rPr>
                        <w:rFonts w:cs="Calibri Light"/>
                        <w:b/>
                        <w:sz w:val="20"/>
                      </w:rPr>
                      <w:t>4</w:t>
                    </w:r>
                    <w:r w:rsidR="007F04A9">
                      <w:rPr>
                        <w:rFonts w:cs="Calibri Light"/>
                        <w:b/>
                        <w:sz w:val="20"/>
                      </w:rPr>
                      <w:t>-</w:t>
                    </w:r>
                    <w:r w:rsidR="00F02A31">
                      <w:rPr>
                        <w:rFonts w:cs="Calibri Light"/>
                        <w:b/>
                        <w:sz w:val="20"/>
                      </w:rPr>
                      <w:t>Report Annex 11</w:t>
                    </w:r>
                  </w:p>
                  <w:p w14:paraId="43146522" w14:textId="5509076B" w:rsidR="000F389F" w:rsidRPr="00B82719" w:rsidRDefault="00212A2F" w:rsidP="003C3DAA">
                    <w:pPr>
                      <w:spacing w:after="0" w:line="240" w:lineRule="auto"/>
                      <w:jc w:val="right"/>
                      <w:rPr>
                        <w:rFonts w:cs="Calibri Light"/>
                        <w:bCs/>
                        <w:i/>
                        <w:iCs/>
                        <w:sz w:val="20"/>
                      </w:rPr>
                    </w:pPr>
                    <w:r>
                      <w:rPr>
                        <w:rFonts w:cs="Calibri Light"/>
                        <w:bCs/>
                        <w:i/>
                        <w:iCs/>
                        <w:sz w:val="20"/>
                      </w:rPr>
                      <w:t>Exceptional circumstances JM MSE</w:t>
                    </w:r>
                  </w:p>
                </w:txbxContent>
              </v:textbox>
              <w10:wrap type="square" anchorx="margin" anchory="page"/>
            </v:shape>
          </w:pict>
        </mc:Fallback>
      </mc:AlternateContent>
    </w:r>
    <w:r w:rsidR="000E671E">
      <w:rPr>
        <w:noProof/>
      </w:rPr>
      <w:drawing>
        <wp:anchor distT="0" distB="0" distL="114300" distR="114300" simplePos="0" relativeHeight="251673600" behindDoc="0" locked="0" layoutInCell="1" allowOverlap="1" wp14:anchorId="1D486911" wp14:editId="665207BC">
          <wp:simplePos x="0" y="0"/>
          <wp:positionH relativeFrom="margin">
            <wp:posOffset>4</wp:posOffset>
          </wp:positionH>
          <wp:positionV relativeFrom="page">
            <wp:posOffset>133350</wp:posOffset>
          </wp:positionV>
          <wp:extent cx="586800" cy="597600"/>
          <wp:effectExtent l="0" t="0" r="3810" b="0"/>
          <wp:wrapNone/>
          <wp:docPr id="1201332616" name="Picture 1201332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166"/>
                  <pic:cNvPicPr>
                    <a:picLocks noChangeAspect="1"/>
                  </pic:cNvPicPr>
                </pic:nvPicPr>
                <pic:blipFill>
                  <a:blip r:embed="rId1">
                    <a:extLst>
                      <a:ext uri="{BEBA8EAE-BF5A-486C-A8C5-ECC9F3942E4B}">
                        <a14:imgProps xmlns:a14="http://schemas.microsoft.com/office/drawing/2010/main">
                          <a14:imgLayer r:embed="rId2">
                            <a14:imgEffect>
                              <a14:colorTemperature colorTemp="7200"/>
                            </a14:imgEffect>
                            <a14:imgEffect>
                              <a14:saturation sat="66000"/>
                            </a14:imgEffect>
                          </a14:imgLayer>
                        </a14:imgProps>
                      </a:ext>
                      <a:ext uri="{28A0092B-C50C-407E-A947-70E740481C1C}">
                        <a14:useLocalDpi xmlns:a14="http://schemas.microsoft.com/office/drawing/2010/main" val="0"/>
                      </a:ext>
                    </a:extLst>
                  </a:blip>
                  <a:stretch>
                    <a:fillRect/>
                  </a:stretch>
                </pic:blipFill>
                <pic:spPr>
                  <a:xfrm>
                    <a:off x="0" y="0"/>
                    <a:ext cx="586800" cy="597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450BA" w14:textId="77777777" w:rsidR="002E3D68" w:rsidRPr="004F42E6" w:rsidRDefault="002E3D68" w:rsidP="002E3D68">
    <w:pPr>
      <w:tabs>
        <w:tab w:val="center" w:pos="4513"/>
        <w:tab w:val="right" w:pos="9026"/>
      </w:tabs>
      <w:spacing w:after="0" w:line="240" w:lineRule="auto"/>
      <w:jc w:val="both"/>
      <w:rPr>
        <w:rFonts w:eastAsia="Calibri" w:cs="Arial"/>
      </w:rPr>
    </w:pPr>
  </w:p>
  <w:p w14:paraId="4079D8D8" w14:textId="77777777" w:rsidR="002E3D68" w:rsidRPr="004F42E6" w:rsidRDefault="002E3D68" w:rsidP="002E3D68">
    <w:pPr>
      <w:tabs>
        <w:tab w:val="center" w:pos="4513"/>
        <w:tab w:val="right" w:pos="9026"/>
      </w:tabs>
      <w:spacing w:after="0" w:line="240" w:lineRule="auto"/>
      <w:jc w:val="both"/>
      <w:rPr>
        <w:rFonts w:eastAsia="Calibri" w:cs="Arial"/>
      </w:rPr>
    </w:pPr>
  </w:p>
  <w:p w14:paraId="1D80B82D" w14:textId="77777777" w:rsidR="002E3D68" w:rsidRPr="004F42E6" w:rsidRDefault="002E3D68" w:rsidP="002E3D68">
    <w:pPr>
      <w:tabs>
        <w:tab w:val="center" w:pos="4513"/>
        <w:tab w:val="right" w:pos="9026"/>
      </w:tabs>
      <w:spacing w:after="0" w:line="240" w:lineRule="auto"/>
      <w:jc w:val="both"/>
      <w:rPr>
        <w:rFonts w:eastAsia="Calibri" w:cs="Arial"/>
      </w:rPr>
    </w:pPr>
  </w:p>
  <w:p w14:paraId="6E266ACA" w14:textId="77777777" w:rsidR="002E3D68" w:rsidRPr="004F42E6" w:rsidRDefault="002E3D68" w:rsidP="002E3D68">
    <w:pPr>
      <w:tabs>
        <w:tab w:val="center" w:pos="4513"/>
        <w:tab w:val="right" w:pos="9026"/>
      </w:tabs>
      <w:spacing w:after="0" w:line="240" w:lineRule="auto"/>
      <w:jc w:val="both"/>
      <w:rPr>
        <w:rFonts w:eastAsia="Calibri" w:cs="Arial"/>
      </w:rPr>
    </w:pPr>
    <w:r w:rsidRPr="004F42E6">
      <w:rPr>
        <w:rFonts w:eastAsia="Calibri" w:cs="Arial"/>
        <w:noProof/>
      </w:rPr>
      <w:drawing>
        <wp:anchor distT="0" distB="0" distL="114300" distR="114300" simplePos="0" relativeHeight="251675648" behindDoc="0" locked="0" layoutInCell="1" allowOverlap="1" wp14:anchorId="52D84A95" wp14:editId="4EB21DAE">
          <wp:simplePos x="0" y="0"/>
          <wp:positionH relativeFrom="margin">
            <wp:align>center</wp:align>
          </wp:positionH>
          <wp:positionV relativeFrom="page">
            <wp:posOffset>299251</wp:posOffset>
          </wp:positionV>
          <wp:extent cx="885600" cy="900000"/>
          <wp:effectExtent l="0" t="0" r="0" b="0"/>
          <wp:wrapThrough wrapText="bothSides">
            <wp:wrapPolygon edited="0">
              <wp:start x="0" y="0"/>
              <wp:lineTo x="0" y="21036"/>
              <wp:lineTo x="20918" y="21036"/>
              <wp:lineTo x="20918" y="0"/>
              <wp:lineTo x="0" y="0"/>
            </wp:wrapPolygon>
          </wp:wrapThrough>
          <wp:docPr id="1807902670" name="Picture 142301244" descr="A blue circle with white fish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478767" name="Picture 142301244" descr="A blue circle with white fish in it&#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5600" cy="900000"/>
                  </a:xfrm>
                  <a:prstGeom prst="rect">
                    <a:avLst/>
                  </a:prstGeom>
                </pic:spPr>
              </pic:pic>
            </a:graphicData>
          </a:graphic>
          <wp14:sizeRelH relativeFrom="margin">
            <wp14:pctWidth>0</wp14:pctWidth>
          </wp14:sizeRelH>
          <wp14:sizeRelV relativeFrom="margin">
            <wp14:pctHeight>0</wp14:pctHeight>
          </wp14:sizeRelV>
        </wp:anchor>
      </w:drawing>
    </w:r>
  </w:p>
  <w:p w14:paraId="123FDD6F" w14:textId="77777777" w:rsidR="00556653" w:rsidRPr="004958FE" w:rsidRDefault="00556653" w:rsidP="004958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E6240"/>
    <w:multiLevelType w:val="multilevel"/>
    <w:tmpl w:val="84C023B6"/>
    <w:styleLink w:val="Headings"/>
    <w:lvl w:ilvl="0">
      <w:start w:val="1"/>
      <w:numFmt w:val="decimal"/>
      <w:lvlText w:val="%1."/>
      <w:lvlJc w:val="left"/>
      <w:pPr>
        <w:ind w:left="786" w:hanging="360"/>
      </w:pPr>
      <w:rPr>
        <w:rFonts w:ascii="Aharoni" w:hAnsi="Aharoni" w:cs="Times New Roman" w:hint="default"/>
      </w:rPr>
    </w:lvl>
    <w:lvl w:ilvl="1">
      <w:start w:val="1"/>
      <w:numFmt w:val="lowerLetter"/>
      <w:pStyle w:val="ListParagraph"/>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 w15:restartNumberingAfterBreak="0">
    <w:nsid w:val="3F1F446B"/>
    <w:multiLevelType w:val="multilevel"/>
    <w:tmpl w:val="E89EB3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585A352C"/>
    <w:multiLevelType w:val="multilevel"/>
    <w:tmpl w:val="2056E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057265"/>
    <w:multiLevelType w:val="multilevel"/>
    <w:tmpl w:val="C4CA19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3D2FC0"/>
    <w:multiLevelType w:val="multilevel"/>
    <w:tmpl w:val="2DE28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E53B4C"/>
    <w:multiLevelType w:val="multilevel"/>
    <w:tmpl w:val="3FD2EC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E03060"/>
    <w:multiLevelType w:val="hybridMultilevel"/>
    <w:tmpl w:val="4976B3DC"/>
    <w:lvl w:ilvl="0" w:tplc="45149DAC">
      <w:start w:val="1"/>
      <w:numFmt w:val="decimal"/>
      <w:pStyle w:val="Heading3"/>
      <w:lvlText w:val="%1."/>
      <w:lvlJc w:val="left"/>
      <w:pPr>
        <w:ind w:left="928" w:hanging="36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226187498">
    <w:abstractNumId w:val="0"/>
  </w:num>
  <w:num w:numId="2" w16cid:durableId="1498185399">
    <w:abstractNumId w:val="6"/>
  </w:num>
  <w:num w:numId="3" w16cid:durableId="1499885806">
    <w:abstractNumId w:val="5"/>
  </w:num>
  <w:num w:numId="4" w16cid:durableId="2048025050">
    <w:abstractNumId w:val="4"/>
  </w:num>
  <w:num w:numId="5" w16cid:durableId="1115518968">
    <w:abstractNumId w:val="3"/>
  </w:num>
  <w:num w:numId="6" w16cid:durableId="1805387570">
    <w:abstractNumId w:val="2"/>
  </w:num>
  <w:num w:numId="7" w16cid:durableId="9218423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A2A"/>
    <w:rsid w:val="00003C2C"/>
    <w:rsid w:val="00004359"/>
    <w:rsid w:val="000208E1"/>
    <w:rsid w:val="00020DB5"/>
    <w:rsid w:val="0002123D"/>
    <w:rsid w:val="00027513"/>
    <w:rsid w:val="0003422E"/>
    <w:rsid w:val="00036524"/>
    <w:rsid w:val="000409AF"/>
    <w:rsid w:val="00045BB7"/>
    <w:rsid w:val="0006510E"/>
    <w:rsid w:val="00067544"/>
    <w:rsid w:val="000762A3"/>
    <w:rsid w:val="000800C6"/>
    <w:rsid w:val="00080D04"/>
    <w:rsid w:val="00083904"/>
    <w:rsid w:val="00083AD3"/>
    <w:rsid w:val="00087653"/>
    <w:rsid w:val="000903FA"/>
    <w:rsid w:val="00092629"/>
    <w:rsid w:val="00093906"/>
    <w:rsid w:val="00096B22"/>
    <w:rsid w:val="000A4007"/>
    <w:rsid w:val="000A733C"/>
    <w:rsid w:val="000B5B91"/>
    <w:rsid w:val="000C790C"/>
    <w:rsid w:val="000D040F"/>
    <w:rsid w:val="000D3DCD"/>
    <w:rsid w:val="000E0163"/>
    <w:rsid w:val="000E671E"/>
    <w:rsid w:val="000E6BAA"/>
    <w:rsid w:val="000F389F"/>
    <w:rsid w:val="00102971"/>
    <w:rsid w:val="00102A01"/>
    <w:rsid w:val="00104D18"/>
    <w:rsid w:val="00110B58"/>
    <w:rsid w:val="00111A53"/>
    <w:rsid w:val="00111D51"/>
    <w:rsid w:val="00120BEF"/>
    <w:rsid w:val="00124022"/>
    <w:rsid w:val="001318F4"/>
    <w:rsid w:val="001326E6"/>
    <w:rsid w:val="0013479A"/>
    <w:rsid w:val="001374E7"/>
    <w:rsid w:val="001379E2"/>
    <w:rsid w:val="00137C69"/>
    <w:rsid w:val="001466CC"/>
    <w:rsid w:val="00146AB2"/>
    <w:rsid w:val="001513D9"/>
    <w:rsid w:val="0015242F"/>
    <w:rsid w:val="00154022"/>
    <w:rsid w:val="00162A86"/>
    <w:rsid w:val="001657EE"/>
    <w:rsid w:val="001713AA"/>
    <w:rsid w:val="00175860"/>
    <w:rsid w:val="0017704B"/>
    <w:rsid w:val="00183F63"/>
    <w:rsid w:val="00184F19"/>
    <w:rsid w:val="001871F5"/>
    <w:rsid w:val="00192E1B"/>
    <w:rsid w:val="001950E9"/>
    <w:rsid w:val="0019621D"/>
    <w:rsid w:val="00196B1B"/>
    <w:rsid w:val="00196B84"/>
    <w:rsid w:val="001A5341"/>
    <w:rsid w:val="001A68C4"/>
    <w:rsid w:val="001B148F"/>
    <w:rsid w:val="001B4F64"/>
    <w:rsid w:val="001B79B0"/>
    <w:rsid w:val="001C001A"/>
    <w:rsid w:val="001C1519"/>
    <w:rsid w:val="001C4ADE"/>
    <w:rsid w:val="001D1BF4"/>
    <w:rsid w:val="001D5974"/>
    <w:rsid w:val="001D5DD8"/>
    <w:rsid w:val="001E03F4"/>
    <w:rsid w:val="001E3C0B"/>
    <w:rsid w:val="001E5C50"/>
    <w:rsid w:val="001E735A"/>
    <w:rsid w:val="001F4C19"/>
    <w:rsid w:val="001F4FA6"/>
    <w:rsid w:val="001F70D7"/>
    <w:rsid w:val="002025FA"/>
    <w:rsid w:val="00212A2F"/>
    <w:rsid w:val="00214482"/>
    <w:rsid w:val="00214E6C"/>
    <w:rsid w:val="0021519D"/>
    <w:rsid w:val="00216725"/>
    <w:rsid w:val="00223CCA"/>
    <w:rsid w:val="00232F65"/>
    <w:rsid w:val="00235393"/>
    <w:rsid w:val="00235841"/>
    <w:rsid w:val="00236083"/>
    <w:rsid w:val="00236EFA"/>
    <w:rsid w:val="00240660"/>
    <w:rsid w:val="002434A9"/>
    <w:rsid w:val="002435EB"/>
    <w:rsid w:val="00250373"/>
    <w:rsid w:val="002515B8"/>
    <w:rsid w:val="002523C7"/>
    <w:rsid w:val="00252DC3"/>
    <w:rsid w:val="002573B3"/>
    <w:rsid w:val="002603E0"/>
    <w:rsid w:val="0026294E"/>
    <w:rsid w:val="00276FA2"/>
    <w:rsid w:val="002877DF"/>
    <w:rsid w:val="00290FE0"/>
    <w:rsid w:val="0029520E"/>
    <w:rsid w:val="00295709"/>
    <w:rsid w:val="00296EB1"/>
    <w:rsid w:val="002A1255"/>
    <w:rsid w:val="002A24F9"/>
    <w:rsid w:val="002B0541"/>
    <w:rsid w:val="002B4378"/>
    <w:rsid w:val="002B4F6B"/>
    <w:rsid w:val="002B5135"/>
    <w:rsid w:val="002C1C22"/>
    <w:rsid w:val="002C3035"/>
    <w:rsid w:val="002C5B13"/>
    <w:rsid w:val="002D043B"/>
    <w:rsid w:val="002D44A3"/>
    <w:rsid w:val="002D5B81"/>
    <w:rsid w:val="002E3D68"/>
    <w:rsid w:val="002F4EAA"/>
    <w:rsid w:val="002F5D0A"/>
    <w:rsid w:val="002F6129"/>
    <w:rsid w:val="002F709C"/>
    <w:rsid w:val="00301433"/>
    <w:rsid w:val="00305257"/>
    <w:rsid w:val="003077DD"/>
    <w:rsid w:val="00315C4F"/>
    <w:rsid w:val="00325BE1"/>
    <w:rsid w:val="003277D6"/>
    <w:rsid w:val="00335B8E"/>
    <w:rsid w:val="003361FA"/>
    <w:rsid w:val="00342546"/>
    <w:rsid w:val="00344282"/>
    <w:rsid w:val="00344EA0"/>
    <w:rsid w:val="00345BEB"/>
    <w:rsid w:val="003519B8"/>
    <w:rsid w:val="003527DE"/>
    <w:rsid w:val="0036447B"/>
    <w:rsid w:val="00365A2A"/>
    <w:rsid w:val="0038123D"/>
    <w:rsid w:val="0038208F"/>
    <w:rsid w:val="003878D8"/>
    <w:rsid w:val="00393D0A"/>
    <w:rsid w:val="003A142A"/>
    <w:rsid w:val="003A208A"/>
    <w:rsid w:val="003A4757"/>
    <w:rsid w:val="003A6C8F"/>
    <w:rsid w:val="003A7D55"/>
    <w:rsid w:val="003B0DD5"/>
    <w:rsid w:val="003B3CEA"/>
    <w:rsid w:val="003C3DAA"/>
    <w:rsid w:val="003C5E81"/>
    <w:rsid w:val="003D75F5"/>
    <w:rsid w:val="003E52A8"/>
    <w:rsid w:val="003E6061"/>
    <w:rsid w:val="003E6937"/>
    <w:rsid w:val="003F4E6D"/>
    <w:rsid w:val="00401354"/>
    <w:rsid w:val="0041764E"/>
    <w:rsid w:val="004219F2"/>
    <w:rsid w:val="004243FF"/>
    <w:rsid w:val="00427DC7"/>
    <w:rsid w:val="00430EE6"/>
    <w:rsid w:val="0043415F"/>
    <w:rsid w:val="00434EC4"/>
    <w:rsid w:val="00436C99"/>
    <w:rsid w:val="004569B5"/>
    <w:rsid w:val="00460F73"/>
    <w:rsid w:val="00471046"/>
    <w:rsid w:val="004729FA"/>
    <w:rsid w:val="00474581"/>
    <w:rsid w:val="00481D1D"/>
    <w:rsid w:val="0049050A"/>
    <w:rsid w:val="00492EAA"/>
    <w:rsid w:val="00492EB2"/>
    <w:rsid w:val="00494CCA"/>
    <w:rsid w:val="004958FE"/>
    <w:rsid w:val="004A2BE5"/>
    <w:rsid w:val="004A6942"/>
    <w:rsid w:val="004A70D4"/>
    <w:rsid w:val="004B3DD3"/>
    <w:rsid w:val="004B53E0"/>
    <w:rsid w:val="004C1619"/>
    <w:rsid w:val="004D1186"/>
    <w:rsid w:val="004E00F9"/>
    <w:rsid w:val="004E28FF"/>
    <w:rsid w:val="004E485F"/>
    <w:rsid w:val="004E6D72"/>
    <w:rsid w:val="004F116E"/>
    <w:rsid w:val="004F43EC"/>
    <w:rsid w:val="004F504E"/>
    <w:rsid w:val="00522A6D"/>
    <w:rsid w:val="00527029"/>
    <w:rsid w:val="00547707"/>
    <w:rsid w:val="0054791C"/>
    <w:rsid w:val="0055207C"/>
    <w:rsid w:val="00554A76"/>
    <w:rsid w:val="00556653"/>
    <w:rsid w:val="00573CCB"/>
    <w:rsid w:val="00573FA1"/>
    <w:rsid w:val="005746FE"/>
    <w:rsid w:val="00581A57"/>
    <w:rsid w:val="005975CE"/>
    <w:rsid w:val="005A0EDF"/>
    <w:rsid w:val="005A5274"/>
    <w:rsid w:val="005A55F2"/>
    <w:rsid w:val="005A573A"/>
    <w:rsid w:val="005A5958"/>
    <w:rsid w:val="005A642F"/>
    <w:rsid w:val="005C3BB8"/>
    <w:rsid w:val="005C576B"/>
    <w:rsid w:val="005C6393"/>
    <w:rsid w:val="005C7EF8"/>
    <w:rsid w:val="005D4F91"/>
    <w:rsid w:val="005D5F79"/>
    <w:rsid w:val="005E30D2"/>
    <w:rsid w:val="005E5BCB"/>
    <w:rsid w:val="005F7A45"/>
    <w:rsid w:val="00603866"/>
    <w:rsid w:val="00614B96"/>
    <w:rsid w:val="00617530"/>
    <w:rsid w:val="006202D9"/>
    <w:rsid w:val="00626B54"/>
    <w:rsid w:val="00627200"/>
    <w:rsid w:val="006302C5"/>
    <w:rsid w:val="0063048D"/>
    <w:rsid w:val="006327C6"/>
    <w:rsid w:val="00632894"/>
    <w:rsid w:val="00632964"/>
    <w:rsid w:val="006405B0"/>
    <w:rsid w:val="006413BB"/>
    <w:rsid w:val="00642201"/>
    <w:rsid w:val="00655226"/>
    <w:rsid w:val="0065773C"/>
    <w:rsid w:val="006600CC"/>
    <w:rsid w:val="006715D9"/>
    <w:rsid w:val="006779C3"/>
    <w:rsid w:val="00682BD1"/>
    <w:rsid w:val="00685F93"/>
    <w:rsid w:val="006909B9"/>
    <w:rsid w:val="006933C2"/>
    <w:rsid w:val="00697922"/>
    <w:rsid w:val="006B11F8"/>
    <w:rsid w:val="006B3BE5"/>
    <w:rsid w:val="006C07DC"/>
    <w:rsid w:val="006D52AC"/>
    <w:rsid w:val="006E1E2C"/>
    <w:rsid w:val="006E6754"/>
    <w:rsid w:val="006E6CC2"/>
    <w:rsid w:val="006F20EE"/>
    <w:rsid w:val="006F2287"/>
    <w:rsid w:val="007013DE"/>
    <w:rsid w:val="00713976"/>
    <w:rsid w:val="007147CB"/>
    <w:rsid w:val="00714AA6"/>
    <w:rsid w:val="007210BB"/>
    <w:rsid w:val="007269DA"/>
    <w:rsid w:val="00733718"/>
    <w:rsid w:val="0074468D"/>
    <w:rsid w:val="00750BA3"/>
    <w:rsid w:val="0075476C"/>
    <w:rsid w:val="00760EEF"/>
    <w:rsid w:val="0076109A"/>
    <w:rsid w:val="0076198B"/>
    <w:rsid w:val="00764AD6"/>
    <w:rsid w:val="00766E7E"/>
    <w:rsid w:val="007802E2"/>
    <w:rsid w:val="00780389"/>
    <w:rsid w:val="00781FB1"/>
    <w:rsid w:val="00783967"/>
    <w:rsid w:val="00787BEC"/>
    <w:rsid w:val="007905B1"/>
    <w:rsid w:val="00791388"/>
    <w:rsid w:val="00797BA6"/>
    <w:rsid w:val="00797CCB"/>
    <w:rsid w:val="007A15E1"/>
    <w:rsid w:val="007A363E"/>
    <w:rsid w:val="007A5F9F"/>
    <w:rsid w:val="007B0715"/>
    <w:rsid w:val="007B19F5"/>
    <w:rsid w:val="007B74EC"/>
    <w:rsid w:val="007B7CD4"/>
    <w:rsid w:val="007B7F88"/>
    <w:rsid w:val="007C44F4"/>
    <w:rsid w:val="007C5674"/>
    <w:rsid w:val="007D5E11"/>
    <w:rsid w:val="007D6B70"/>
    <w:rsid w:val="007E1DAB"/>
    <w:rsid w:val="007E2068"/>
    <w:rsid w:val="007E30F4"/>
    <w:rsid w:val="007E5492"/>
    <w:rsid w:val="007E676C"/>
    <w:rsid w:val="007F0085"/>
    <w:rsid w:val="007F04A9"/>
    <w:rsid w:val="007F18CB"/>
    <w:rsid w:val="007F2EF2"/>
    <w:rsid w:val="008034C5"/>
    <w:rsid w:val="008040D4"/>
    <w:rsid w:val="00815970"/>
    <w:rsid w:val="00824528"/>
    <w:rsid w:val="00826214"/>
    <w:rsid w:val="00826875"/>
    <w:rsid w:val="008268BD"/>
    <w:rsid w:val="00826A89"/>
    <w:rsid w:val="00826B4D"/>
    <w:rsid w:val="00837782"/>
    <w:rsid w:val="00837B67"/>
    <w:rsid w:val="00837FEC"/>
    <w:rsid w:val="00851CB2"/>
    <w:rsid w:val="008527C1"/>
    <w:rsid w:val="0085772A"/>
    <w:rsid w:val="00865B8C"/>
    <w:rsid w:val="00866320"/>
    <w:rsid w:val="00871491"/>
    <w:rsid w:val="00871AEA"/>
    <w:rsid w:val="00872411"/>
    <w:rsid w:val="00874776"/>
    <w:rsid w:val="0088503F"/>
    <w:rsid w:val="008857B2"/>
    <w:rsid w:val="008943D9"/>
    <w:rsid w:val="00897BA5"/>
    <w:rsid w:val="008A2481"/>
    <w:rsid w:val="008A348E"/>
    <w:rsid w:val="008A70F4"/>
    <w:rsid w:val="008B065F"/>
    <w:rsid w:val="008B769D"/>
    <w:rsid w:val="008C402A"/>
    <w:rsid w:val="008C4546"/>
    <w:rsid w:val="008D1F41"/>
    <w:rsid w:val="008D78BB"/>
    <w:rsid w:val="008E03A6"/>
    <w:rsid w:val="008E2B00"/>
    <w:rsid w:val="008E4F71"/>
    <w:rsid w:val="008E6853"/>
    <w:rsid w:val="00901C8B"/>
    <w:rsid w:val="00914BDF"/>
    <w:rsid w:val="009154DE"/>
    <w:rsid w:val="00916C30"/>
    <w:rsid w:val="00920CF0"/>
    <w:rsid w:val="009403C3"/>
    <w:rsid w:val="00944578"/>
    <w:rsid w:val="00946240"/>
    <w:rsid w:val="00946549"/>
    <w:rsid w:val="00950742"/>
    <w:rsid w:val="00951B5D"/>
    <w:rsid w:val="009531B2"/>
    <w:rsid w:val="00955DCB"/>
    <w:rsid w:val="009601A5"/>
    <w:rsid w:val="0096175A"/>
    <w:rsid w:val="00962EF1"/>
    <w:rsid w:val="009636A5"/>
    <w:rsid w:val="009669B8"/>
    <w:rsid w:val="00971AA3"/>
    <w:rsid w:val="009761E5"/>
    <w:rsid w:val="009809FD"/>
    <w:rsid w:val="00986F48"/>
    <w:rsid w:val="009901EF"/>
    <w:rsid w:val="00991D6A"/>
    <w:rsid w:val="00991F77"/>
    <w:rsid w:val="00994E24"/>
    <w:rsid w:val="009A3CE9"/>
    <w:rsid w:val="009A747A"/>
    <w:rsid w:val="009B01DE"/>
    <w:rsid w:val="009B564A"/>
    <w:rsid w:val="009B617F"/>
    <w:rsid w:val="009C5F30"/>
    <w:rsid w:val="009C6270"/>
    <w:rsid w:val="009C78C9"/>
    <w:rsid w:val="009D19CD"/>
    <w:rsid w:val="009D37A4"/>
    <w:rsid w:val="009D3FC8"/>
    <w:rsid w:val="009D49B9"/>
    <w:rsid w:val="009D6313"/>
    <w:rsid w:val="009D70B2"/>
    <w:rsid w:val="009E27E2"/>
    <w:rsid w:val="009E4BC2"/>
    <w:rsid w:val="009F0675"/>
    <w:rsid w:val="009F0D76"/>
    <w:rsid w:val="00A02208"/>
    <w:rsid w:val="00A10962"/>
    <w:rsid w:val="00A122A9"/>
    <w:rsid w:val="00A15068"/>
    <w:rsid w:val="00A255D6"/>
    <w:rsid w:val="00A2701A"/>
    <w:rsid w:val="00A34550"/>
    <w:rsid w:val="00A354BD"/>
    <w:rsid w:val="00A41F2B"/>
    <w:rsid w:val="00A50C81"/>
    <w:rsid w:val="00A52F49"/>
    <w:rsid w:val="00A65AE3"/>
    <w:rsid w:val="00A667AC"/>
    <w:rsid w:val="00A72376"/>
    <w:rsid w:val="00A747B0"/>
    <w:rsid w:val="00A7502C"/>
    <w:rsid w:val="00A80E66"/>
    <w:rsid w:val="00A90077"/>
    <w:rsid w:val="00A9061E"/>
    <w:rsid w:val="00A92544"/>
    <w:rsid w:val="00A95088"/>
    <w:rsid w:val="00AA5A77"/>
    <w:rsid w:val="00AA7171"/>
    <w:rsid w:val="00AB4893"/>
    <w:rsid w:val="00AB6157"/>
    <w:rsid w:val="00AC045C"/>
    <w:rsid w:val="00AD51C5"/>
    <w:rsid w:val="00AD5EAB"/>
    <w:rsid w:val="00AD6F1A"/>
    <w:rsid w:val="00AD7674"/>
    <w:rsid w:val="00AE1126"/>
    <w:rsid w:val="00AE4E89"/>
    <w:rsid w:val="00AE5874"/>
    <w:rsid w:val="00AE6B97"/>
    <w:rsid w:val="00B13C1A"/>
    <w:rsid w:val="00B16AC2"/>
    <w:rsid w:val="00B17FD5"/>
    <w:rsid w:val="00B22B83"/>
    <w:rsid w:val="00B30322"/>
    <w:rsid w:val="00B30DA8"/>
    <w:rsid w:val="00B31D24"/>
    <w:rsid w:val="00B42AAA"/>
    <w:rsid w:val="00B44975"/>
    <w:rsid w:val="00B4790B"/>
    <w:rsid w:val="00B576AC"/>
    <w:rsid w:val="00B64714"/>
    <w:rsid w:val="00B66179"/>
    <w:rsid w:val="00B7068D"/>
    <w:rsid w:val="00B71462"/>
    <w:rsid w:val="00B735B0"/>
    <w:rsid w:val="00B80153"/>
    <w:rsid w:val="00B812A6"/>
    <w:rsid w:val="00B82719"/>
    <w:rsid w:val="00B85158"/>
    <w:rsid w:val="00B91BE8"/>
    <w:rsid w:val="00B94C34"/>
    <w:rsid w:val="00B95F30"/>
    <w:rsid w:val="00BA1169"/>
    <w:rsid w:val="00BA1B4D"/>
    <w:rsid w:val="00BA2899"/>
    <w:rsid w:val="00BA4F14"/>
    <w:rsid w:val="00BA75D2"/>
    <w:rsid w:val="00BB5A93"/>
    <w:rsid w:val="00BC135E"/>
    <w:rsid w:val="00BC1FF0"/>
    <w:rsid w:val="00BC44A3"/>
    <w:rsid w:val="00BD1487"/>
    <w:rsid w:val="00BD3AC9"/>
    <w:rsid w:val="00BE13D3"/>
    <w:rsid w:val="00BE22DF"/>
    <w:rsid w:val="00BE2B6D"/>
    <w:rsid w:val="00BE33B8"/>
    <w:rsid w:val="00BE7BDE"/>
    <w:rsid w:val="00BF3D27"/>
    <w:rsid w:val="00C00013"/>
    <w:rsid w:val="00C004C9"/>
    <w:rsid w:val="00C00C20"/>
    <w:rsid w:val="00C1223C"/>
    <w:rsid w:val="00C142ED"/>
    <w:rsid w:val="00C266A6"/>
    <w:rsid w:val="00C32D7C"/>
    <w:rsid w:val="00C35D84"/>
    <w:rsid w:val="00C40A04"/>
    <w:rsid w:val="00C42CD4"/>
    <w:rsid w:val="00C51A8B"/>
    <w:rsid w:val="00C66178"/>
    <w:rsid w:val="00C676DC"/>
    <w:rsid w:val="00C67A4F"/>
    <w:rsid w:val="00C7107D"/>
    <w:rsid w:val="00C72A38"/>
    <w:rsid w:val="00C74AF2"/>
    <w:rsid w:val="00C83499"/>
    <w:rsid w:val="00C85699"/>
    <w:rsid w:val="00C8673C"/>
    <w:rsid w:val="00C9007C"/>
    <w:rsid w:val="00C94CE4"/>
    <w:rsid w:val="00C94E11"/>
    <w:rsid w:val="00CA13B9"/>
    <w:rsid w:val="00CA1477"/>
    <w:rsid w:val="00CA1FD6"/>
    <w:rsid w:val="00CA20CC"/>
    <w:rsid w:val="00CB2F8A"/>
    <w:rsid w:val="00CB476A"/>
    <w:rsid w:val="00CC6FEA"/>
    <w:rsid w:val="00CD126C"/>
    <w:rsid w:val="00CD44CF"/>
    <w:rsid w:val="00CD4774"/>
    <w:rsid w:val="00CE6314"/>
    <w:rsid w:val="00CF09E2"/>
    <w:rsid w:val="00D0007E"/>
    <w:rsid w:val="00D11644"/>
    <w:rsid w:val="00D13A14"/>
    <w:rsid w:val="00D226A7"/>
    <w:rsid w:val="00D22F2A"/>
    <w:rsid w:val="00D23159"/>
    <w:rsid w:val="00D23FE0"/>
    <w:rsid w:val="00D246EA"/>
    <w:rsid w:val="00D277BE"/>
    <w:rsid w:val="00D3264E"/>
    <w:rsid w:val="00D44100"/>
    <w:rsid w:val="00D54BCD"/>
    <w:rsid w:val="00D57DBD"/>
    <w:rsid w:val="00D605A4"/>
    <w:rsid w:val="00D6355B"/>
    <w:rsid w:val="00D63C85"/>
    <w:rsid w:val="00D65215"/>
    <w:rsid w:val="00D66FC4"/>
    <w:rsid w:val="00D70F91"/>
    <w:rsid w:val="00D739D7"/>
    <w:rsid w:val="00D8145B"/>
    <w:rsid w:val="00D832BA"/>
    <w:rsid w:val="00D911F2"/>
    <w:rsid w:val="00D91A5E"/>
    <w:rsid w:val="00DA587C"/>
    <w:rsid w:val="00DA619E"/>
    <w:rsid w:val="00DB05A3"/>
    <w:rsid w:val="00DB1DD8"/>
    <w:rsid w:val="00DB2B6B"/>
    <w:rsid w:val="00DB3DA2"/>
    <w:rsid w:val="00DB51F8"/>
    <w:rsid w:val="00DC2A2D"/>
    <w:rsid w:val="00DC4777"/>
    <w:rsid w:val="00DC568A"/>
    <w:rsid w:val="00DC5D68"/>
    <w:rsid w:val="00DC7885"/>
    <w:rsid w:val="00DD6B8A"/>
    <w:rsid w:val="00DE3449"/>
    <w:rsid w:val="00DE36A5"/>
    <w:rsid w:val="00DE605F"/>
    <w:rsid w:val="00DE62D3"/>
    <w:rsid w:val="00DF17DF"/>
    <w:rsid w:val="00DF332A"/>
    <w:rsid w:val="00E007EA"/>
    <w:rsid w:val="00E0537B"/>
    <w:rsid w:val="00E06601"/>
    <w:rsid w:val="00E101D0"/>
    <w:rsid w:val="00E145F0"/>
    <w:rsid w:val="00E15F33"/>
    <w:rsid w:val="00E313CB"/>
    <w:rsid w:val="00E31E10"/>
    <w:rsid w:val="00E34FF9"/>
    <w:rsid w:val="00E4314D"/>
    <w:rsid w:val="00E47098"/>
    <w:rsid w:val="00E52852"/>
    <w:rsid w:val="00E53AB0"/>
    <w:rsid w:val="00E5582F"/>
    <w:rsid w:val="00E55FB8"/>
    <w:rsid w:val="00E6154E"/>
    <w:rsid w:val="00E662B7"/>
    <w:rsid w:val="00E807F1"/>
    <w:rsid w:val="00E83318"/>
    <w:rsid w:val="00E85ABA"/>
    <w:rsid w:val="00E863A6"/>
    <w:rsid w:val="00E9245F"/>
    <w:rsid w:val="00E92E60"/>
    <w:rsid w:val="00E9438F"/>
    <w:rsid w:val="00E955B2"/>
    <w:rsid w:val="00E95715"/>
    <w:rsid w:val="00EA0D5E"/>
    <w:rsid w:val="00EA15CA"/>
    <w:rsid w:val="00EA1E81"/>
    <w:rsid w:val="00EA3880"/>
    <w:rsid w:val="00EA3CD2"/>
    <w:rsid w:val="00EB0B85"/>
    <w:rsid w:val="00EB7A19"/>
    <w:rsid w:val="00EC0505"/>
    <w:rsid w:val="00EC16CF"/>
    <w:rsid w:val="00ED0646"/>
    <w:rsid w:val="00ED1E8A"/>
    <w:rsid w:val="00EE2C77"/>
    <w:rsid w:val="00EE3C52"/>
    <w:rsid w:val="00EF0403"/>
    <w:rsid w:val="00EF1642"/>
    <w:rsid w:val="00EF25C7"/>
    <w:rsid w:val="00EF2913"/>
    <w:rsid w:val="00EF5C78"/>
    <w:rsid w:val="00EF7002"/>
    <w:rsid w:val="00F02A31"/>
    <w:rsid w:val="00F1353F"/>
    <w:rsid w:val="00F14FDB"/>
    <w:rsid w:val="00F15240"/>
    <w:rsid w:val="00F17461"/>
    <w:rsid w:val="00F178A8"/>
    <w:rsid w:val="00F214DB"/>
    <w:rsid w:val="00F25594"/>
    <w:rsid w:val="00F27167"/>
    <w:rsid w:val="00F307F2"/>
    <w:rsid w:val="00F30F71"/>
    <w:rsid w:val="00F311C8"/>
    <w:rsid w:val="00F313EF"/>
    <w:rsid w:val="00F31C35"/>
    <w:rsid w:val="00F35A18"/>
    <w:rsid w:val="00F42258"/>
    <w:rsid w:val="00F42C6A"/>
    <w:rsid w:val="00F53224"/>
    <w:rsid w:val="00F57FEC"/>
    <w:rsid w:val="00F63CBB"/>
    <w:rsid w:val="00F804EB"/>
    <w:rsid w:val="00F8467B"/>
    <w:rsid w:val="00F85517"/>
    <w:rsid w:val="00F93712"/>
    <w:rsid w:val="00FA4438"/>
    <w:rsid w:val="00FB008A"/>
    <w:rsid w:val="00FB2968"/>
    <w:rsid w:val="00FB2FFE"/>
    <w:rsid w:val="00FB4AE5"/>
    <w:rsid w:val="00FB550A"/>
    <w:rsid w:val="00FC63C5"/>
    <w:rsid w:val="00FC67BA"/>
    <w:rsid w:val="00FD1A7E"/>
    <w:rsid w:val="00FE08D1"/>
    <w:rsid w:val="00FE144C"/>
    <w:rsid w:val="00FE2C2F"/>
    <w:rsid w:val="00FE368A"/>
    <w:rsid w:val="00FE48C5"/>
    <w:rsid w:val="00FE5212"/>
    <w:rsid w:val="00FE7AEA"/>
    <w:rsid w:val="00FF1CDF"/>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CF997"/>
  <w15:chartTrackingRefBased/>
  <w15:docId w15:val="{2F1090A1-1306-4F10-B582-4680DD7A7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1B2"/>
    <w:rPr>
      <w:rFonts w:ascii="Calibri Light" w:hAnsi="Calibri Light"/>
    </w:rPr>
  </w:style>
  <w:style w:type="paragraph" w:styleId="Heading1">
    <w:name w:val="heading 1"/>
    <w:basedOn w:val="Heading2"/>
    <w:next w:val="Normal"/>
    <w:link w:val="Heading1Char"/>
    <w:uiPriority w:val="9"/>
    <w:qFormat/>
    <w:rsid w:val="00EA3880"/>
    <w:pPr>
      <w:outlineLvl w:val="0"/>
    </w:pPr>
    <w:rPr>
      <w:rFonts w:ascii="Open Sans" w:hAnsi="Open Sans" w:cs="Open Sans"/>
      <w:b w:val="0"/>
    </w:rPr>
  </w:style>
  <w:style w:type="paragraph" w:styleId="Heading2">
    <w:name w:val="heading 2"/>
    <w:basedOn w:val="Normal"/>
    <w:next w:val="Normal"/>
    <w:link w:val="Heading2Char"/>
    <w:uiPriority w:val="9"/>
    <w:unhideWhenUsed/>
    <w:qFormat/>
    <w:rsid w:val="00124022"/>
    <w:pPr>
      <w:spacing w:after="0" w:line="240" w:lineRule="auto"/>
      <w:jc w:val="center"/>
      <w:outlineLvl w:val="1"/>
    </w:pPr>
    <w:rPr>
      <w:rFonts w:asciiTheme="majorHAnsi" w:eastAsiaTheme="majorEastAsia" w:hAnsiTheme="majorHAnsi" w:cstheme="majorBidi"/>
      <w:b/>
      <w:color w:val="1F3864" w:themeColor="accent1" w:themeShade="80"/>
      <w:sz w:val="28"/>
      <w:szCs w:val="32"/>
    </w:rPr>
  </w:style>
  <w:style w:type="paragraph" w:styleId="Heading3">
    <w:name w:val="heading 3"/>
    <w:basedOn w:val="Normal"/>
    <w:next w:val="Normal"/>
    <w:link w:val="Heading3Char"/>
    <w:uiPriority w:val="9"/>
    <w:unhideWhenUsed/>
    <w:qFormat/>
    <w:rsid w:val="00EA3880"/>
    <w:pPr>
      <w:keepNext/>
      <w:keepLines/>
      <w:numPr>
        <w:numId w:val="2"/>
      </w:numPr>
      <w:spacing w:before="40" w:after="0"/>
      <w:outlineLvl w:val="2"/>
    </w:pPr>
    <w:rPr>
      <w:rFonts w:asciiTheme="majorHAnsi" w:eastAsiaTheme="majorEastAsia" w:hAnsiTheme="majorHAnsi" w:cstheme="majorBidi"/>
      <w:color w:val="1F3763" w:themeColor="accent1" w:themeShade="7F"/>
      <w:sz w:val="24"/>
      <w:szCs w:val="26"/>
    </w:rPr>
  </w:style>
  <w:style w:type="paragraph" w:styleId="Heading4">
    <w:name w:val="heading 4"/>
    <w:basedOn w:val="Normal"/>
    <w:next w:val="Normal"/>
    <w:link w:val="Heading4Char"/>
    <w:uiPriority w:val="9"/>
    <w:unhideWhenUsed/>
    <w:qFormat/>
    <w:rsid w:val="00290FE0"/>
    <w:pPr>
      <w:keepNext/>
      <w:keepLines/>
      <w:spacing w:before="40" w:after="0"/>
      <w:ind w:left="284"/>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5A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5A2A"/>
  </w:style>
  <w:style w:type="paragraph" w:styleId="Footer">
    <w:name w:val="footer"/>
    <w:basedOn w:val="Normal"/>
    <w:link w:val="FooterChar"/>
    <w:uiPriority w:val="99"/>
    <w:unhideWhenUsed/>
    <w:rsid w:val="00365A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5A2A"/>
  </w:style>
  <w:style w:type="character" w:styleId="Hyperlink">
    <w:name w:val="Hyperlink"/>
    <w:basedOn w:val="DefaultParagraphFont"/>
    <w:uiPriority w:val="99"/>
    <w:unhideWhenUsed/>
    <w:rsid w:val="00CB476A"/>
    <w:rPr>
      <w:color w:val="0563C1" w:themeColor="hyperlink"/>
      <w:u w:val="single"/>
    </w:rPr>
  </w:style>
  <w:style w:type="character" w:customStyle="1" w:styleId="UnresolvedMention1">
    <w:name w:val="Unresolved Mention1"/>
    <w:basedOn w:val="DefaultParagraphFont"/>
    <w:uiPriority w:val="99"/>
    <w:semiHidden/>
    <w:unhideWhenUsed/>
    <w:rsid w:val="00CB476A"/>
    <w:rPr>
      <w:color w:val="808080"/>
      <w:shd w:val="clear" w:color="auto" w:fill="E6E6E6"/>
    </w:rPr>
  </w:style>
  <w:style w:type="table" w:styleId="TableGrid">
    <w:name w:val="Table Grid"/>
    <w:basedOn w:val="TableNormal"/>
    <w:uiPriority w:val="39"/>
    <w:rsid w:val="00FE144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614B9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4B96"/>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A3880"/>
    <w:rPr>
      <w:rFonts w:ascii="Open Sans" w:eastAsiaTheme="majorEastAsia" w:hAnsi="Open Sans" w:cs="Open Sans"/>
      <w:color w:val="2F5496" w:themeColor="accent1" w:themeShade="BF"/>
      <w:sz w:val="28"/>
      <w:szCs w:val="26"/>
    </w:rPr>
  </w:style>
  <w:style w:type="character" w:customStyle="1" w:styleId="Heading2Char">
    <w:name w:val="Heading 2 Char"/>
    <w:basedOn w:val="DefaultParagraphFont"/>
    <w:link w:val="Heading2"/>
    <w:uiPriority w:val="9"/>
    <w:rsid w:val="00124022"/>
    <w:rPr>
      <w:rFonts w:asciiTheme="majorHAnsi" w:eastAsiaTheme="majorEastAsia" w:hAnsiTheme="majorHAnsi" w:cstheme="majorBidi"/>
      <w:b/>
      <w:color w:val="1F3864" w:themeColor="accent1" w:themeShade="80"/>
      <w:sz w:val="28"/>
      <w:szCs w:val="32"/>
    </w:rPr>
  </w:style>
  <w:style w:type="character" w:customStyle="1" w:styleId="Heading3Char">
    <w:name w:val="Heading 3 Char"/>
    <w:basedOn w:val="DefaultParagraphFont"/>
    <w:link w:val="Heading3"/>
    <w:uiPriority w:val="9"/>
    <w:rsid w:val="00EA3880"/>
    <w:rPr>
      <w:rFonts w:asciiTheme="majorHAnsi" w:eastAsiaTheme="majorEastAsia" w:hAnsiTheme="majorHAnsi" w:cstheme="majorBidi"/>
      <w:color w:val="1F3763" w:themeColor="accent1" w:themeShade="7F"/>
      <w:sz w:val="24"/>
      <w:szCs w:val="26"/>
    </w:rPr>
  </w:style>
  <w:style w:type="paragraph" w:styleId="ListParagraph">
    <w:name w:val="List Paragraph"/>
    <w:aliases w:val="Numbered Paragraph,List Paragraph1,Recommendation,List Paragraph11"/>
    <w:basedOn w:val="Normal"/>
    <w:link w:val="ListParagraphChar"/>
    <w:uiPriority w:val="34"/>
    <w:qFormat/>
    <w:rsid w:val="00916C30"/>
    <w:pPr>
      <w:keepNext/>
      <w:keepLines/>
      <w:numPr>
        <w:ilvl w:val="1"/>
        <w:numId w:val="1"/>
      </w:numPr>
      <w:spacing w:before="120" w:after="120" w:line="240" w:lineRule="auto"/>
      <w:jc w:val="both"/>
    </w:pPr>
    <w:rPr>
      <w:rFonts w:ascii="Georgia" w:hAnsi="Georgia"/>
      <w:color w:val="000000" w:themeColor="text1"/>
    </w:rPr>
  </w:style>
  <w:style w:type="character" w:customStyle="1" w:styleId="fontstyle01">
    <w:name w:val="fontstyle01"/>
    <w:basedOn w:val="DefaultParagraphFont"/>
    <w:rsid w:val="00916C30"/>
    <w:rPr>
      <w:rFonts w:ascii="Georgia" w:hAnsi="Georgia" w:hint="default"/>
      <w:b w:val="0"/>
      <w:bCs w:val="0"/>
      <w:i w:val="0"/>
      <w:iCs w:val="0"/>
      <w:color w:val="000000"/>
      <w:sz w:val="22"/>
      <w:szCs w:val="22"/>
    </w:rPr>
  </w:style>
  <w:style w:type="numbering" w:customStyle="1" w:styleId="Headings">
    <w:name w:val="Headings"/>
    <w:uiPriority w:val="99"/>
    <w:rsid w:val="00916C30"/>
    <w:pPr>
      <w:numPr>
        <w:numId w:val="1"/>
      </w:numPr>
    </w:pPr>
  </w:style>
  <w:style w:type="character" w:customStyle="1" w:styleId="TitleMeetingDocChar">
    <w:name w:val="Title Meeting Doc Char"/>
    <w:basedOn w:val="DefaultParagraphFont"/>
    <w:link w:val="TitleMeetingDoc"/>
    <w:locked/>
    <w:rsid w:val="00916C30"/>
    <w:rPr>
      <w:rFonts w:ascii="Arial" w:eastAsia="Arial" w:hAnsi="Arial" w:cstheme="minorHAnsi"/>
      <w:b/>
      <w:bCs/>
      <w:color w:val="2F5496" w:themeColor="accent1" w:themeShade="BF"/>
      <w:spacing w:val="-2"/>
      <w:sz w:val="36"/>
      <w:szCs w:val="36"/>
      <w:lang w:val="en-GB" w:eastAsia="en-GB"/>
    </w:rPr>
  </w:style>
  <w:style w:type="paragraph" w:customStyle="1" w:styleId="TitleMeetingDoc">
    <w:name w:val="Title Meeting Doc"/>
    <w:basedOn w:val="Normal"/>
    <w:link w:val="TitleMeetingDocChar"/>
    <w:qFormat/>
    <w:rsid w:val="00916C30"/>
    <w:pPr>
      <w:autoSpaceDE w:val="0"/>
      <w:autoSpaceDN w:val="0"/>
      <w:adjustRightInd w:val="0"/>
      <w:spacing w:before="120" w:after="120" w:line="240" w:lineRule="auto"/>
      <w:jc w:val="center"/>
    </w:pPr>
    <w:rPr>
      <w:rFonts w:ascii="Arial" w:eastAsia="Arial" w:hAnsi="Arial" w:cstheme="minorHAnsi"/>
      <w:b/>
      <w:bCs/>
      <w:color w:val="2F5496" w:themeColor="accent1" w:themeShade="BF"/>
      <w:spacing w:val="-2"/>
      <w:sz w:val="36"/>
      <w:szCs w:val="36"/>
      <w:lang w:val="en-GB" w:eastAsia="en-GB"/>
    </w:rPr>
  </w:style>
  <w:style w:type="character" w:styleId="IntenseEmphasis">
    <w:name w:val="Intense Emphasis"/>
    <w:basedOn w:val="DefaultParagraphFont"/>
    <w:uiPriority w:val="21"/>
    <w:qFormat/>
    <w:rsid w:val="00916C30"/>
    <w:rPr>
      <w:i/>
      <w:iCs/>
      <w:color w:val="4472C4" w:themeColor="accent1"/>
    </w:rPr>
  </w:style>
  <w:style w:type="paragraph" w:styleId="TOCHeading">
    <w:name w:val="TOC Heading"/>
    <w:basedOn w:val="Heading1"/>
    <w:next w:val="Normal"/>
    <w:uiPriority w:val="39"/>
    <w:unhideWhenUsed/>
    <w:qFormat/>
    <w:rsid w:val="00897BA5"/>
    <w:pPr>
      <w:jc w:val="left"/>
      <w:outlineLvl w:val="9"/>
    </w:pPr>
    <w:rPr>
      <w:b/>
      <w:lang w:val="en-US"/>
    </w:rPr>
  </w:style>
  <w:style w:type="paragraph" w:styleId="TOC1">
    <w:name w:val="toc 1"/>
    <w:basedOn w:val="Normal"/>
    <w:next w:val="Normal"/>
    <w:autoRedefine/>
    <w:uiPriority w:val="39"/>
    <w:unhideWhenUsed/>
    <w:rsid w:val="00897BA5"/>
    <w:pPr>
      <w:spacing w:after="100"/>
    </w:pPr>
  </w:style>
  <w:style w:type="paragraph" w:styleId="TOC2">
    <w:name w:val="toc 2"/>
    <w:basedOn w:val="Normal"/>
    <w:next w:val="Normal"/>
    <w:autoRedefine/>
    <w:uiPriority w:val="39"/>
    <w:unhideWhenUsed/>
    <w:rsid w:val="00897BA5"/>
    <w:pPr>
      <w:spacing w:after="100"/>
      <w:ind w:left="220"/>
    </w:pPr>
  </w:style>
  <w:style w:type="paragraph" w:styleId="TOC3">
    <w:name w:val="toc 3"/>
    <w:basedOn w:val="Normal"/>
    <w:next w:val="Normal"/>
    <w:autoRedefine/>
    <w:uiPriority w:val="39"/>
    <w:unhideWhenUsed/>
    <w:rsid w:val="00897BA5"/>
    <w:pPr>
      <w:spacing w:after="100"/>
      <w:ind w:left="440"/>
    </w:pPr>
  </w:style>
  <w:style w:type="paragraph" w:styleId="NoSpacing">
    <w:name w:val="No Spacing"/>
    <w:link w:val="NoSpacingChar"/>
    <w:uiPriority w:val="1"/>
    <w:qFormat/>
    <w:rsid w:val="00A9061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A9061E"/>
    <w:rPr>
      <w:rFonts w:eastAsiaTheme="minorEastAsia"/>
      <w:lang w:val="en-US"/>
    </w:rPr>
  </w:style>
  <w:style w:type="paragraph" w:styleId="FootnoteText">
    <w:name w:val="footnote text"/>
    <w:basedOn w:val="Normal"/>
    <w:link w:val="FootnoteTextChar"/>
    <w:uiPriority w:val="99"/>
    <w:semiHidden/>
    <w:unhideWhenUsed/>
    <w:rsid w:val="00AE4E89"/>
    <w:pPr>
      <w:spacing w:after="0" w:line="240" w:lineRule="auto"/>
      <w:jc w:val="both"/>
    </w:pPr>
    <w:rPr>
      <w:color w:val="1F3864" w:themeColor="accent1" w:themeShade="80"/>
      <w:sz w:val="20"/>
      <w:szCs w:val="20"/>
    </w:rPr>
  </w:style>
  <w:style w:type="character" w:customStyle="1" w:styleId="FootnoteTextChar">
    <w:name w:val="Footnote Text Char"/>
    <w:basedOn w:val="DefaultParagraphFont"/>
    <w:link w:val="FootnoteText"/>
    <w:uiPriority w:val="99"/>
    <w:semiHidden/>
    <w:rsid w:val="00AE4E89"/>
    <w:rPr>
      <w:color w:val="1F3864" w:themeColor="accent1" w:themeShade="80"/>
      <w:sz w:val="20"/>
      <w:szCs w:val="20"/>
    </w:rPr>
  </w:style>
  <w:style w:type="character" w:styleId="FootnoteReference">
    <w:name w:val="footnote reference"/>
    <w:basedOn w:val="DefaultParagraphFont"/>
    <w:uiPriority w:val="99"/>
    <w:unhideWhenUsed/>
    <w:rsid w:val="00AE4E89"/>
    <w:rPr>
      <w:vertAlign w:val="superscript"/>
    </w:rPr>
  </w:style>
  <w:style w:type="character" w:customStyle="1" w:styleId="ListParagraphChar">
    <w:name w:val="List Paragraph Char"/>
    <w:aliases w:val="Numbered Paragraph Char,List Paragraph1 Char,Recommendation Char,List Paragraph11 Char"/>
    <w:basedOn w:val="DefaultParagraphFont"/>
    <w:link w:val="ListParagraph"/>
    <w:uiPriority w:val="34"/>
    <w:locked/>
    <w:rsid w:val="00E0537B"/>
    <w:rPr>
      <w:rFonts w:ascii="Georgia" w:hAnsi="Georgia"/>
      <w:color w:val="000000" w:themeColor="text1"/>
    </w:rPr>
  </w:style>
  <w:style w:type="character" w:customStyle="1" w:styleId="Heading4Char">
    <w:name w:val="Heading 4 Char"/>
    <w:basedOn w:val="DefaultParagraphFont"/>
    <w:link w:val="Heading4"/>
    <w:uiPriority w:val="9"/>
    <w:rsid w:val="00290FE0"/>
    <w:rPr>
      <w:rFonts w:asciiTheme="majorHAnsi" w:eastAsiaTheme="majorEastAsia" w:hAnsiTheme="majorHAnsi" w:cstheme="majorBidi"/>
      <w:i/>
      <w:iCs/>
      <w:color w:val="2F5496" w:themeColor="accent1" w:themeShade="BF"/>
    </w:rPr>
  </w:style>
  <w:style w:type="table" w:customStyle="1" w:styleId="TableGrid1">
    <w:name w:val="Table Grid1"/>
    <w:basedOn w:val="TableNormal"/>
    <w:next w:val="TableGrid"/>
    <w:uiPriority w:val="39"/>
    <w:rsid w:val="009636A5"/>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01C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1C8B"/>
    <w:rPr>
      <w:rFonts w:ascii="Segoe UI" w:hAnsi="Segoe UI" w:cs="Segoe UI"/>
      <w:sz w:val="18"/>
      <w:szCs w:val="18"/>
    </w:rPr>
  </w:style>
  <w:style w:type="character" w:styleId="CommentReference">
    <w:name w:val="annotation reference"/>
    <w:basedOn w:val="DefaultParagraphFont"/>
    <w:uiPriority w:val="99"/>
    <w:semiHidden/>
    <w:unhideWhenUsed/>
    <w:rsid w:val="001D1BF4"/>
    <w:rPr>
      <w:sz w:val="16"/>
      <w:szCs w:val="16"/>
    </w:rPr>
  </w:style>
  <w:style w:type="paragraph" w:styleId="CommentText">
    <w:name w:val="annotation text"/>
    <w:basedOn w:val="Normal"/>
    <w:link w:val="CommentTextChar"/>
    <w:uiPriority w:val="99"/>
    <w:unhideWhenUsed/>
    <w:rsid w:val="001D1BF4"/>
    <w:pPr>
      <w:spacing w:line="240" w:lineRule="auto"/>
    </w:pPr>
    <w:rPr>
      <w:sz w:val="20"/>
      <w:szCs w:val="20"/>
    </w:rPr>
  </w:style>
  <w:style w:type="character" w:customStyle="1" w:styleId="CommentTextChar">
    <w:name w:val="Comment Text Char"/>
    <w:basedOn w:val="DefaultParagraphFont"/>
    <w:link w:val="CommentText"/>
    <w:uiPriority w:val="99"/>
    <w:rsid w:val="001D1BF4"/>
    <w:rPr>
      <w:sz w:val="20"/>
      <w:szCs w:val="20"/>
    </w:rPr>
  </w:style>
  <w:style w:type="paragraph" w:styleId="CommentSubject">
    <w:name w:val="annotation subject"/>
    <w:basedOn w:val="CommentText"/>
    <w:next w:val="CommentText"/>
    <w:link w:val="CommentSubjectChar"/>
    <w:uiPriority w:val="99"/>
    <w:semiHidden/>
    <w:unhideWhenUsed/>
    <w:rsid w:val="001D1BF4"/>
    <w:rPr>
      <w:b/>
      <w:bCs/>
    </w:rPr>
  </w:style>
  <w:style w:type="character" w:customStyle="1" w:styleId="CommentSubjectChar">
    <w:name w:val="Comment Subject Char"/>
    <w:basedOn w:val="CommentTextChar"/>
    <w:link w:val="CommentSubject"/>
    <w:uiPriority w:val="99"/>
    <w:semiHidden/>
    <w:rsid w:val="001D1BF4"/>
    <w:rPr>
      <w:b/>
      <w:bCs/>
      <w:sz w:val="20"/>
      <w:szCs w:val="20"/>
    </w:rPr>
  </w:style>
  <w:style w:type="paragraph" w:styleId="PlainText">
    <w:name w:val="Plain Text"/>
    <w:basedOn w:val="Normal"/>
    <w:link w:val="PlainTextChar"/>
    <w:uiPriority w:val="99"/>
    <w:unhideWhenUsed/>
    <w:rsid w:val="00797CCB"/>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rsid w:val="00797CCB"/>
    <w:rPr>
      <w:rFonts w:ascii="Calibri" w:hAnsi="Calibri"/>
      <w:szCs w:val="21"/>
      <w:lang w:val="en-US"/>
    </w:rPr>
  </w:style>
  <w:style w:type="paragraph" w:styleId="Revision">
    <w:name w:val="Revision"/>
    <w:hidden/>
    <w:uiPriority w:val="99"/>
    <w:semiHidden/>
    <w:rsid w:val="00D57DBD"/>
    <w:pPr>
      <w:spacing w:after="0" w:line="240" w:lineRule="auto"/>
    </w:pPr>
  </w:style>
  <w:style w:type="character" w:styleId="UnresolvedMention">
    <w:name w:val="Unresolved Mention"/>
    <w:basedOn w:val="DefaultParagraphFont"/>
    <w:uiPriority w:val="99"/>
    <w:semiHidden/>
    <w:unhideWhenUsed/>
    <w:rsid w:val="00E15F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626136">
      <w:bodyDiv w:val="1"/>
      <w:marLeft w:val="0"/>
      <w:marRight w:val="0"/>
      <w:marTop w:val="0"/>
      <w:marBottom w:val="0"/>
      <w:divBdr>
        <w:top w:val="none" w:sz="0" w:space="0" w:color="auto"/>
        <w:left w:val="none" w:sz="0" w:space="0" w:color="auto"/>
        <w:bottom w:val="none" w:sz="0" w:space="0" w:color="auto"/>
        <w:right w:val="none" w:sz="0" w:space="0" w:color="auto"/>
      </w:divBdr>
    </w:div>
    <w:div w:id="668140465">
      <w:bodyDiv w:val="1"/>
      <w:marLeft w:val="0"/>
      <w:marRight w:val="0"/>
      <w:marTop w:val="0"/>
      <w:marBottom w:val="0"/>
      <w:divBdr>
        <w:top w:val="none" w:sz="0" w:space="0" w:color="auto"/>
        <w:left w:val="none" w:sz="0" w:space="0" w:color="auto"/>
        <w:bottom w:val="none" w:sz="0" w:space="0" w:color="auto"/>
        <w:right w:val="none" w:sz="0" w:space="0" w:color="auto"/>
      </w:divBdr>
    </w:div>
    <w:div w:id="1284729260">
      <w:bodyDiv w:val="1"/>
      <w:marLeft w:val="0"/>
      <w:marRight w:val="0"/>
      <w:marTop w:val="0"/>
      <w:marBottom w:val="0"/>
      <w:divBdr>
        <w:top w:val="none" w:sz="0" w:space="0" w:color="auto"/>
        <w:left w:val="none" w:sz="0" w:space="0" w:color="auto"/>
        <w:bottom w:val="none" w:sz="0" w:space="0" w:color="auto"/>
        <w:right w:val="none" w:sz="0" w:space="0" w:color="auto"/>
      </w:divBdr>
    </w:div>
    <w:div w:id="1342925338">
      <w:bodyDiv w:val="1"/>
      <w:marLeft w:val="0"/>
      <w:marRight w:val="0"/>
      <w:marTop w:val="0"/>
      <w:marBottom w:val="0"/>
      <w:divBdr>
        <w:top w:val="none" w:sz="0" w:space="0" w:color="auto"/>
        <w:left w:val="none" w:sz="0" w:space="0" w:color="auto"/>
        <w:bottom w:val="none" w:sz="0" w:space="0" w:color="auto"/>
        <w:right w:val="none" w:sz="0" w:space="0" w:color="auto"/>
      </w:divBdr>
    </w:div>
    <w:div w:id="1402020438">
      <w:bodyDiv w:val="1"/>
      <w:marLeft w:val="0"/>
      <w:marRight w:val="0"/>
      <w:marTop w:val="0"/>
      <w:marBottom w:val="0"/>
      <w:divBdr>
        <w:top w:val="none" w:sz="0" w:space="0" w:color="auto"/>
        <w:left w:val="none" w:sz="0" w:space="0" w:color="auto"/>
        <w:bottom w:val="none" w:sz="0" w:space="0" w:color="auto"/>
        <w:right w:val="none" w:sz="0" w:space="0" w:color="auto"/>
      </w:divBdr>
    </w:div>
    <w:div w:id="1403215241">
      <w:bodyDiv w:val="1"/>
      <w:marLeft w:val="0"/>
      <w:marRight w:val="0"/>
      <w:marTop w:val="0"/>
      <w:marBottom w:val="0"/>
      <w:divBdr>
        <w:top w:val="none" w:sz="0" w:space="0" w:color="auto"/>
        <w:left w:val="none" w:sz="0" w:space="0" w:color="auto"/>
        <w:bottom w:val="none" w:sz="0" w:space="0" w:color="auto"/>
        <w:right w:val="none" w:sz="0" w:space="0" w:color="auto"/>
      </w:divBdr>
    </w:div>
    <w:div w:id="1424571019">
      <w:bodyDiv w:val="1"/>
      <w:marLeft w:val="0"/>
      <w:marRight w:val="0"/>
      <w:marTop w:val="0"/>
      <w:marBottom w:val="0"/>
      <w:divBdr>
        <w:top w:val="none" w:sz="0" w:space="0" w:color="auto"/>
        <w:left w:val="none" w:sz="0" w:space="0" w:color="auto"/>
        <w:bottom w:val="none" w:sz="0" w:space="0" w:color="auto"/>
        <w:right w:val="none" w:sz="0" w:space="0" w:color="auto"/>
      </w:divBdr>
    </w:div>
    <w:div w:id="1766457612">
      <w:bodyDiv w:val="1"/>
      <w:marLeft w:val="0"/>
      <w:marRight w:val="0"/>
      <w:marTop w:val="0"/>
      <w:marBottom w:val="0"/>
      <w:divBdr>
        <w:top w:val="none" w:sz="0" w:space="0" w:color="auto"/>
        <w:left w:val="none" w:sz="0" w:space="0" w:color="auto"/>
        <w:bottom w:val="none" w:sz="0" w:space="0" w:color="auto"/>
        <w:right w:val="none" w:sz="0" w:space="0" w:color="auto"/>
      </w:divBdr>
    </w:div>
    <w:div w:id="1973830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sprfmo.int" TargetMode="External"/><Relationship Id="rId1" Type="http://schemas.openxmlformats.org/officeDocument/2006/relationships/hyperlink" Target="mailto:secretariat@sprfmo.int" TargetMode="Externa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60cda15-4342-4530-a621-e872600c47bf" xsi:nil="true"/>
    <lcf76f155ced4ddcb4097134ff3c332f xmlns="f2321571-662e-40e4-ade6-64c56c8afd9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B82CA4DBB5E2D479C67A271464707CD" ma:contentTypeVersion="21" ma:contentTypeDescription="Create a new document." ma:contentTypeScope="" ma:versionID="4971968a263e33c88b9cdbe840aea1eb">
  <xsd:schema xmlns:xsd="http://www.w3.org/2001/XMLSchema" xmlns:xs="http://www.w3.org/2001/XMLSchema" xmlns:p="http://schemas.microsoft.com/office/2006/metadata/properties" xmlns:ns2="f2321571-662e-40e4-ade6-64c56c8afd9d" xmlns:ns3="d60cda15-4342-4530-a621-e872600c47bf" targetNamespace="http://schemas.microsoft.com/office/2006/metadata/properties" ma:root="true" ma:fieldsID="b5abd1629e548c3e82178348fe887c24" ns2:_="" ns3:_="">
    <xsd:import namespace="f2321571-662e-40e4-ade6-64c56c8afd9d"/>
    <xsd:import namespace="d60cda15-4342-4530-a621-e872600c47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3:TaxCatchAll" minOccurs="0"/>
                <xsd:element ref="ns2:MediaServiceGenerationTime" minOccurs="0"/>
                <xsd:element ref="ns2:MediaServiceEventHashCode" minOccurs="0"/>
                <xsd:element ref="ns2:MediaServiceOCR" minOccurs="0"/>
                <xsd:element ref="ns2:lcf76f155ced4ddcb4097134ff3c332f"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321571-662e-40e4-ade6-64c56c8af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b9d37e6-fe86-4bdd-adb2-3edf8854ae58"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0cda15-4342-4530-a621-e872600c47b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089794d-4ea4-4fb8-bd58-1763f53a5f4f}" ma:internalName="TaxCatchAll" ma:showField="CatchAllData" ma:web="d60cda15-4342-4530-a621-e872600c4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6064E0-83FE-42BB-9F31-CF97E17F1671}">
  <ds:schemaRefs>
    <ds:schemaRef ds:uri="http://schemas.microsoft.com/sharepoint/v3/contenttype/forms"/>
  </ds:schemaRefs>
</ds:datastoreItem>
</file>

<file path=customXml/itemProps2.xml><?xml version="1.0" encoding="utf-8"?>
<ds:datastoreItem xmlns:ds="http://schemas.openxmlformats.org/officeDocument/2006/customXml" ds:itemID="{506C0674-968E-4AE3-AE74-8A24ABBC4A41}">
  <ds:schemaRefs>
    <ds:schemaRef ds:uri="http://schemas.openxmlformats.org/officeDocument/2006/bibliography"/>
  </ds:schemaRefs>
</ds:datastoreItem>
</file>

<file path=customXml/itemProps3.xml><?xml version="1.0" encoding="utf-8"?>
<ds:datastoreItem xmlns:ds="http://schemas.openxmlformats.org/officeDocument/2006/customXml" ds:itemID="{EB7380F9-6D70-4C96-BEFB-5744F210E779}">
  <ds:schemaRefs>
    <ds:schemaRef ds:uri="http://schemas.microsoft.com/office/2006/metadata/properties"/>
    <ds:schemaRef ds:uri="http://schemas.microsoft.com/office/infopath/2007/PartnerControls"/>
    <ds:schemaRef ds:uri="d60cda15-4342-4530-a621-e872600c47bf"/>
    <ds:schemaRef ds:uri="f2321571-662e-40e4-ade6-64c56c8afd9d"/>
  </ds:schemaRefs>
</ds:datastoreItem>
</file>

<file path=customXml/itemProps4.xml><?xml version="1.0" encoding="utf-8"?>
<ds:datastoreItem xmlns:ds="http://schemas.openxmlformats.org/officeDocument/2006/customXml" ds:itemID="{C919C132-D800-40B5-964A-9EA552D13C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321571-662e-40e4-ade6-64c56c8afd9d"/>
    <ds:schemaRef ds:uri="d60cda15-4342-4530-a621-e872600c4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SC14-Report Annex 11 JM MSE Exceptional Circumstances</vt:lpstr>
    </vt:vector>
  </TitlesOfParts>
  <Company>SPRFMO</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SC14-Report Annex 11 JM MSE Exceptional Circumstances</dc:title>
  <dc:subject>SC14</dc:subject>
  <dc:creator>SPRFMO Secretariat</dc:creator>
  <cp:keywords>SC14-Report Annex 11</cp:keywords>
  <dc:description/>
  <cp:lastModifiedBy>Susana Delgado Suárez</cp:lastModifiedBy>
  <cp:revision>21</cp:revision>
  <cp:lastPrinted>2026-10-07T00:37:00Z</cp:lastPrinted>
  <dcterms:created xsi:type="dcterms:W3CDTF">2026-09-07T10:32:00Z</dcterms:created>
  <dcterms:modified xsi:type="dcterms:W3CDTF">2026-10-07T01:01:00Z</dcterms:modified>
  <cp:category>SC14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0x010100EB82CA4DBB5E2D479C67A271464707CD</vt:lpwstr>
  </property>
  <property fmtid="{D5CDD505-2E9C-101B-9397-08002B2CF9AE}" pid="3" name="MediaServiceImageTags">
    <vt:lpwstr/>
  </property>
</Properties>
</file>