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5" w:rsidRPr="00301E18" w:rsidRDefault="00D3626E" w:rsidP="00D3626E">
      <w:pPr>
        <w:rPr>
          <w:rFonts w:ascii="Verdana" w:hAnsi="Verdana"/>
          <w:sz w:val="18"/>
        </w:rPr>
      </w:pPr>
      <w:r w:rsidRPr="00301E18">
        <w:rPr>
          <w:rFonts w:ascii="Verdana" w:hAnsi="Verdana"/>
          <w:noProof/>
          <w:sz w:val="18"/>
          <w:lang w:eastAsia="en-GB"/>
        </w:rPr>
        <w:drawing>
          <wp:inline distT="0" distB="0" distL="0" distR="0" wp14:anchorId="68C0C5C0" wp14:editId="466F383B">
            <wp:extent cx="5760720" cy="605715"/>
            <wp:effectExtent l="0" t="0" r="0" b="444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" t="6386" r="953" b="6386"/>
                    <a:stretch/>
                  </pic:blipFill>
                  <pic:spPr bwMode="auto">
                    <a:xfrm>
                      <a:off x="0" y="0"/>
                      <a:ext cx="5760720" cy="60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3626E" w:rsidRPr="00301E18" w:rsidRDefault="00D3626E" w:rsidP="00301E18">
      <w:pPr>
        <w:pStyle w:val="Heading1"/>
        <w:rPr>
          <w:rFonts w:ascii="Verdana" w:hAnsi="Verdana"/>
          <w:sz w:val="22"/>
        </w:rPr>
      </w:pPr>
      <w:r w:rsidRPr="00301E18">
        <w:rPr>
          <w:rFonts w:ascii="Verdana" w:hAnsi="Verdana"/>
          <w:sz w:val="22"/>
        </w:rPr>
        <w:t xml:space="preserve">Advice </w:t>
      </w:r>
      <w:r w:rsidR="000531CD">
        <w:rPr>
          <w:rFonts w:ascii="Verdana" w:hAnsi="Verdana"/>
          <w:sz w:val="22"/>
        </w:rPr>
        <w:t>October 201</w:t>
      </w:r>
      <w:r w:rsidR="0091761C">
        <w:rPr>
          <w:rFonts w:ascii="Verdana" w:hAnsi="Verdana"/>
          <w:sz w:val="22"/>
        </w:rPr>
        <w:t>3</w:t>
      </w:r>
    </w:p>
    <w:p w:rsidR="00301E18" w:rsidRPr="00301E18" w:rsidRDefault="00301E18" w:rsidP="00D3626E">
      <w:pPr>
        <w:rPr>
          <w:rFonts w:ascii="Verdana" w:hAnsi="Verdana"/>
          <w:sz w:val="18"/>
        </w:rPr>
      </w:pPr>
      <w:r w:rsidRPr="00301E18">
        <w:rPr>
          <w:rFonts w:ascii="Verdana" w:hAnsi="Verdana"/>
          <w:sz w:val="18"/>
        </w:rPr>
        <w:t xml:space="preserve">Stock: </w:t>
      </w:r>
      <w:r w:rsidRPr="00301E18">
        <w:rPr>
          <w:rFonts w:ascii="Verdana" w:hAnsi="Verdana"/>
          <w:sz w:val="18"/>
        </w:rPr>
        <w:tab/>
      </w:r>
      <w:r w:rsidRPr="00301E18">
        <w:rPr>
          <w:rFonts w:ascii="Verdana" w:hAnsi="Verdana"/>
          <w:sz w:val="18"/>
        </w:rPr>
        <w:tab/>
        <w:t>Jack Mackerel (</w:t>
      </w:r>
      <w:r w:rsidRPr="00301E18">
        <w:rPr>
          <w:rFonts w:ascii="Verdana" w:hAnsi="Verdana"/>
          <w:i/>
          <w:sz w:val="18"/>
        </w:rPr>
        <w:t>Trachurus murphyi</w:t>
      </w:r>
      <w:r w:rsidRPr="00301E18">
        <w:rPr>
          <w:rFonts w:ascii="Verdana" w:hAnsi="Verdana"/>
          <w:sz w:val="18"/>
        </w:rPr>
        <w:t>)</w:t>
      </w:r>
      <w:r w:rsidRPr="00301E18">
        <w:rPr>
          <w:rFonts w:ascii="Verdana" w:hAnsi="Verdana"/>
          <w:sz w:val="18"/>
        </w:rPr>
        <w:br/>
        <w:t xml:space="preserve">Region: </w:t>
      </w:r>
      <w:r w:rsidRPr="00301E18">
        <w:rPr>
          <w:rFonts w:ascii="Verdana" w:hAnsi="Verdana"/>
          <w:sz w:val="18"/>
        </w:rPr>
        <w:tab/>
        <w:t xml:space="preserve">SPRFMO convention </w:t>
      </w:r>
      <w:r w:rsidR="0091761C">
        <w:rPr>
          <w:rFonts w:ascii="Verdana" w:hAnsi="Verdana"/>
          <w:sz w:val="18"/>
        </w:rPr>
        <w:t>area</w:t>
      </w:r>
      <w:r w:rsidRPr="00301E18">
        <w:rPr>
          <w:rFonts w:ascii="Verdana" w:hAnsi="Verdana"/>
          <w:sz w:val="18"/>
        </w:rPr>
        <w:t xml:space="preserve">, including EEZ of Chile, Peru and Ecuador </w:t>
      </w:r>
    </w:p>
    <w:p w:rsidR="00301E18" w:rsidRPr="00301E18" w:rsidRDefault="0091761C" w:rsidP="00301E18">
      <w:pPr>
        <w:pStyle w:val="Heading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Advice for 2014</w:t>
      </w:r>
    </w:p>
    <w:p w:rsidR="00301E18" w:rsidRDefault="00301E18" w:rsidP="00301E18">
      <w:pPr>
        <w:rPr>
          <w:rFonts w:ascii="Verdana" w:hAnsi="Verdana"/>
          <w:sz w:val="18"/>
        </w:rPr>
      </w:pPr>
      <w:r w:rsidRPr="00301E18">
        <w:rPr>
          <w:rFonts w:ascii="Verdana" w:hAnsi="Verdana"/>
          <w:sz w:val="18"/>
        </w:rPr>
        <w:t>The S</w:t>
      </w:r>
      <w:r w:rsidR="000531CD">
        <w:rPr>
          <w:rFonts w:ascii="Verdana" w:hAnsi="Verdana"/>
          <w:sz w:val="18"/>
        </w:rPr>
        <w:t>PRFMO Science Committee advises</w:t>
      </w:r>
      <w:r w:rsidR="00937F4A">
        <w:rPr>
          <w:rFonts w:ascii="Verdana" w:hAnsi="Verdana"/>
          <w:sz w:val="18"/>
        </w:rPr>
        <w:t xml:space="preserve"> </w:t>
      </w:r>
      <w:r w:rsidR="0091761C">
        <w:rPr>
          <w:rFonts w:ascii="Verdana" w:hAnsi="Verdana"/>
          <w:sz w:val="18"/>
        </w:rPr>
        <w:t>to maintain 2014 catches at or below 440 000t.</w:t>
      </w:r>
    </w:p>
    <w:p w:rsidR="00301E18" w:rsidRDefault="00301E18" w:rsidP="00301E18">
      <w:pPr>
        <w:pStyle w:val="Heading2"/>
        <w:rPr>
          <w:rFonts w:ascii="Verdana" w:hAnsi="Verdana"/>
          <w:sz w:val="20"/>
        </w:rPr>
      </w:pPr>
      <w:r w:rsidRPr="00301E18">
        <w:rPr>
          <w:rFonts w:ascii="Verdana" w:hAnsi="Verdana"/>
          <w:sz w:val="20"/>
        </w:rPr>
        <w:t>Stock status</w:t>
      </w:r>
    </w:p>
    <w:tbl>
      <w:tblPr>
        <w:tblStyle w:val="LightShading"/>
        <w:tblW w:w="5064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1932"/>
        <w:gridCol w:w="1674"/>
        <w:gridCol w:w="1676"/>
        <w:gridCol w:w="1673"/>
      </w:tblGrid>
      <w:tr w:rsidR="00D81F50" w:rsidRPr="00D81F50" w:rsidTr="00BF6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1F50" w:rsidRPr="00D81F50" w:rsidRDefault="00D81F50" w:rsidP="0091761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02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1F50" w:rsidRPr="00D81F50" w:rsidRDefault="00D81F50" w:rsidP="00917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  <w:tc>
          <w:tcPr>
            <w:tcW w:w="89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1F50" w:rsidRPr="00D81F50" w:rsidRDefault="0028087B" w:rsidP="00917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201</w:t>
            </w:r>
            <w:r w:rsidR="0091761C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89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1F50" w:rsidRPr="00D81F50" w:rsidRDefault="0091761C" w:rsidP="00917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2012</w:t>
            </w:r>
          </w:p>
        </w:tc>
        <w:tc>
          <w:tcPr>
            <w:tcW w:w="89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1F50" w:rsidRPr="00D81F50" w:rsidRDefault="0091761C" w:rsidP="00917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</w:rPr>
            </w:pPr>
            <w:r>
              <w:rPr>
                <w:rFonts w:ascii="Verdana" w:hAnsi="Verdana"/>
                <w:sz w:val="18"/>
              </w:rPr>
              <w:t>2013</w:t>
            </w:r>
          </w:p>
        </w:tc>
      </w:tr>
      <w:tr w:rsidR="00A15960" w:rsidRPr="00D81F50" w:rsidTr="00BF6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rPr>
                <w:rFonts w:ascii="Verdana" w:hAnsi="Verdana"/>
                <w:sz w:val="18"/>
              </w:rPr>
            </w:pPr>
            <w:r w:rsidRPr="00D81F50">
              <w:rPr>
                <w:rFonts w:ascii="Verdana" w:hAnsi="Verdana"/>
                <w:sz w:val="18"/>
              </w:rPr>
              <w:t>Fishing mortality in relation to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15960" w:rsidRPr="00D81F50" w:rsidRDefault="0091761C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</w:t>
            </w:r>
            <w:r w:rsidRPr="0091761C">
              <w:rPr>
                <w:rFonts w:ascii="Verdana" w:hAnsi="Verdana"/>
                <w:sz w:val="18"/>
                <w:vertAlign w:val="subscript"/>
              </w:rPr>
              <w:t>MSY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5B8B7" w:themeFill="accent2" w:themeFillTint="66"/>
            <w:vAlign w:val="center"/>
          </w:tcPr>
          <w:p w:rsidR="00A15960" w:rsidRPr="00D81F50" w:rsidRDefault="0091761C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Above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:rsidR="00A15960" w:rsidRPr="00D81F50" w:rsidRDefault="0091761C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Below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</w:tcBorders>
            <w:shd w:val="clear" w:color="auto" w:fill="D6E3BC" w:themeFill="accent3" w:themeFillTint="66"/>
            <w:vAlign w:val="center"/>
          </w:tcPr>
          <w:p w:rsidR="00A15960" w:rsidRPr="00D81F50" w:rsidRDefault="0091761C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Below</w:t>
            </w:r>
          </w:p>
        </w:tc>
      </w:tr>
      <w:tr w:rsidR="00A15960" w:rsidRPr="00D81F50" w:rsidTr="00BF6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027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  <w:tc>
          <w:tcPr>
            <w:tcW w:w="890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  <w:tc>
          <w:tcPr>
            <w:tcW w:w="891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  <w:tc>
          <w:tcPr>
            <w:tcW w:w="890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</w:p>
        </w:tc>
      </w:tr>
      <w:tr w:rsidR="00A15960" w:rsidRPr="00D81F50" w:rsidTr="00BF6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15960" w:rsidRPr="00D81F50" w:rsidRDefault="00A15960" w:rsidP="0091761C">
            <w:pPr>
              <w:rPr>
                <w:rFonts w:ascii="Verdana" w:hAnsi="Verdana"/>
                <w:sz w:val="18"/>
              </w:rPr>
            </w:pPr>
            <w:r w:rsidRPr="00D81F50">
              <w:rPr>
                <w:rFonts w:ascii="Verdana" w:hAnsi="Verdana"/>
                <w:sz w:val="18"/>
              </w:rPr>
              <w:t>Spawning stock biomass</w:t>
            </w:r>
            <w:r>
              <w:rPr>
                <w:rFonts w:ascii="Verdana" w:hAnsi="Verdana"/>
                <w:sz w:val="18"/>
              </w:rPr>
              <w:t xml:space="preserve"> in relation to</w:t>
            </w:r>
          </w:p>
        </w:tc>
        <w:tc>
          <w:tcPr>
            <w:tcW w:w="1027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15960" w:rsidRPr="00D81F50" w:rsidRDefault="0091761C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</w:t>
            </w:r>
            <w:r w:rsidRPr="0091761C">
              <w:rPr>
                <w:rFonts w:ascii="Verdana" w:hAnsi="Verdana"/>
                <w:sz w:val="18"/>
                <w:vertAlign w:val="subscript"/>
              </w:rPr>
              <w:t>MSY</w:t>
            </w:r>
          </w:p>
        </w:tc>
        <w:tc>
          <w:tcPr>
            <w:tcW w:w="890" w:type="pct"/>
            <w:tcBorders>
              <w:left w:val="dotted" w:sz="4" w:space="0" w:color="auto"/>
              <w:right w:val="dotted" w:sz="4" w:space="0" w:color="auto"/>
            </w:tcBorders>
            <w:shd w:val="clear" w:color="auto" w:fill="E5B8B7" w:themeFill="accent2" w:themeFillTint="66"/>
            <w:vAlign w:val="center"/>
          </w:tcPr>
          <w:p w:rsidR="00A15960" w:rsidRPr="00D81F50" w:rsidRDefault="00BF69D1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Below</w:t>
            </w:r>
          </w:p>
        </w:tc>
        <w:tc>
          <w:tcPr>
            <w:tcW w:w="891" w:type="pct"/>
            <w:tcBorders>
              <w:left w:val="dotted" w:sz="4" w:space="0" w:color="auto"/>
              <w:right w:val="dotted" w:sz="4" w:space="0" w:color="auto"/>
            </w:tcBorders>
            <w:shd w:val="clear" w:color="auto" w:fill="E5B8B7" w:themeFill="accent2" w:themeFillTint="66"/>
            <w:vAlign w:val="center"/>
          </w:tcPr>
          <w:p w:rsidR="00A15960" w:rsidRPr="00D81F50" w:rsidRDefault="00BF69D1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Below</w:t>
            </w:r>
          </w:p>
        </w:tc>
        <w:tc>
          <w:tcPr>
            <w:tcW w:w="890" w:type="pct"/>
            <w:tcBorders>
              <w:left w:val="dotted" w:sz="4" w:space="0" w:color="auto"/>
            </w:tcBorders>
            <w:shd w:val="clear" w:color="auto" w:fill="E5B8B7" w:themeFill="accent2" w:themeFillTint="66"/>
            <w:vAlign w:val="center"/>
          </w:tcPr>
          <w:p w:rsidR="00A15960" w:rsidRPr="00D81F50" w:rsidRDefault="00BF69D1" w:rsidP="00917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Below</w:t>
            </w:r>
          </w:p>
        </w:tc>
      </w:tr>
    </w:tbl>
    <w:p w:rsidR="00BF69D1" w:rsidRDefault="00BF69D1" w:rsidP="00301E18">
      <w:pPr>
        <w:rPr>
          <w:rFonts w:ascii="Verdana" w:hAnsi="Verdana"/>
          <w:sz w:val="16"/>
        </w:rPr>
      </w:pPr>
    </w:p>
    <w:p w:rsidR="003A57E1" w:rsidRDefault="00BF69D1" w:rsidP="00301E18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  <w:lang w:eastAsia="en-GB"/>
        </w:rPr>
        <w:drawing>
          <wp:inline distT="0" distB="0" distL="0" distR="0">
            <wp:extent cx="5663366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iceSummaryGraph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t="7397"/>
                    <a:stretch/>
                  </pic:blipFill>
                  <pic:spPr bwMode="auto">
                    <a:xfrm>
                      <a:off x="0" y="0"/>
                      <a:ext cx="5665435" cy="322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57E1" w:rsidRPr="003A57E1">
        <w:rPr>
          <w:rFonts w:ascii="Verdana" w:hAnsi="Verdana"/>
          <w:sz w:val="16"/>
        </w:rPr>
        <w:t>Figure</w:t>
      </w:r>
      <w:r w:rsidR="003A57E1">
        <w:rPr>
          <w:rFonts w:ascii="Verdana" w:hAnsi="Verdana"/>
          <w:sz w:val="16"/>
        </w:rPr>
        <w:t xml:space="preserve"> 1. Jack Mackerel in the SPRFMO convention </w:t>
      </w:r>
      <w:r>
        <w:rPr>
          <w:rFonts w:ascii="Verdana" w:hAnsi="Verdana"/>
          <w:sz w:val="16"/>
        </w:rPr>
        <w:t>area</w:t>
      </w:r>
      <w:r w:rsidR="003A57E1">
        <w:rPr>
          <w:rFonts w:ascii="Verdana" w:hAnsi="Verdana"/>
          <w:sz w:val="16"/>
        </w:rPr>
        <w:t xml:space="preserve">, including the EEZ of Chile, Peru and Ecuador. Summary of stock assessment. Recruitment is measured in thousands, SSB in thousand tonnes, catch in thousand tonnes and harvest (fishing mortality) as a rate per year. </w:t>
      </w:r>
    </w:p>
    <w:p w:rsidR="004F1C69" w:rsidRDefault="004F1C69" w:rsidP="001736A4">
      <w:pPr>
        <w:pStyle w:val="Heading2"/>
        <w:rPr>
          <w:rFonts w:ascii="Verdana" w:hAnsi="Verdana"/>
          <w:sz w:val="20"/>
        </w:rPr>
      </w:pPr>
    </w:p>
    <w:p w:rsidR="004F1C69" w:rsidRDefault="004F1C69" w:rsidP="001736A4">
      <w:pPr>
        <w:pStyle w:val="Heading2"/>
        <w:rPr>
          <w:rFonts w:ascii="Verdana" w:hAnsi="Verdana"/>
          <w:sz w:val="20"/>
        </w:rPr>
      </w:pPr>
    </w:p>
    <w:p w:rsidR="004F1C69" w:rsidRDefault="004F1C69" w:rsidP="001736A4">
      <w:pPr>
        <w:pStyle w:val="Heading2"/>
        <w:rPr>
          <w:rFonts w:ascii="Verdana" w:hAnsi="Verdana"/>
          <w:sz w:val="20"/>
        </w:rPr>
      </w:pPr>
    </w:p>
    <w:p w:rsidR="004F1C69" w:rsidRDefault="004F1C69" w:rsidP="001736A4">
      <w:pPr>
        <w:pStyle w:val="Heading2"/>
        <w:rPr>
          <w:rFonts w:ascii="Verdana" w:hAnsi="Verdana"/>
          <w:sz w:val="20"/>
        </w:rPr>
      </w:pPr>
    </w:p>
    <w:p w:rsidR="004F1C69" w:rsidRDefault="004F1C69" w:rsidP="001736A4">
      <w:pPr>
        <w:pStyle w:val="Heading2"/>
        <w:rPr>
          <w:rFonts w:ascii="Verdana" w:hAnsi="Verdana"/>
          <w:sz w:val="20"/>
        </w:rPr>
      </w:pPr>
    </w:p>
    <w:p w:rsidR="004F1C69" w:rsidRDefault="004F1C69" w:rsidP="001736A4">
      <w:pPr>
        <w:pStyle w:val="Heading2"/>
        <w:rPr>
          <w:rFonts w:ascii="Verdana" w:hAnsi="Verdana"/>
          <w:sz w:val="20"/>
        </w:rPr>
      </w:pPr>
    </w:p>
    <w:p w:rsidR="003A57E1" w:rsidRDefault="001736A4" w:rsidP="001736A4">
      <w:pPr>
        <w:pStyle w:val="Heading2"/>
        <w:rPr>
          <w:rFonts w:ascii="Verdana" w:hAnsi="Verdana"/>
          <w:sz w:val="20"/>
        </w:rPr>
      </w:pPr>
      <w:r w:rsidRPr="001736A4">
        <w:rPr>
          <w:rFonts w:ascii="Verdana" w:hAnsi="Verdana"/>
          <w:sz w:val="20"/>
        </w:rPr>
        <w:lastRenderedPageBreak/>
        <w:t>Outlook for 2014</w:t>
      </w:r>
    </w:p>
    <w:p w:rsidR="000531CD" w:rsidRDefault="005D0FF8" w:rsidP="000531CD">
      <w:pPr>
        <w:rPr>
          <w:rFonts w:ascii="Verdana" w:hAnsi="Verdana"/>
          <w:sz w:val="18"/>
        </w:rPr>
      </w:pPr>
      <w:r w:rsidRPr="005D0FF8">
        <w:rPr>
          <w:rFonts w:ascii="Verdana" w:hAnsi="Verdana"/>
          <w:sz w:val="18"/>
        </w:rPr>
        <w:t>Constant fishing mortality scenarios were explored at 1</w:t>
      </w:r>
      <w:r w:rsidR="00BF69D1">
        <w:rPr>
          <w:rFonts w:ascii="Verdana" w:hAnsi="Verdana"/>
          <w:sz w:val="18"/>
        </w:rPr>
        <w:t>25</w:t>
      </w:r>
      <w:r w:rsidRPr="005D0FF8">
        <w:rPr>
          <w:rFonts w:ascii="Verdana" w:hAnsi="Verdana"/>
          <w:sz w:val="18"/>
        </w:rPr>
        <w:t xml:space="preserve">%, </w:t>
      </w:r>
      <w:r w:rsidR="00BF69D1">
        <w:rPr>
          <w:rFonts w:ascii="Verdana" w:hAnsi="Verdana"/>
          <w:sz w:val="18"/>
        </w:rPr>
        <w:t>100</w:t>
      </w:r>
      <w:r w:rsidRPr="005D0FF8">
        <w:rPr>
          <w:rFonts w:ascii="Verdana" w:hAnsi="Verdana"/>
          <w:sz w:val="18"/>
        </w:rPr>
        <w:t xml:space="preserve">%, </w:t>
      </w:r>
      <w:r w:rsidR="00BF69D1">
        <w:rPr>
          <w:rFonts w:ascii="Verdana" w:hAnsi="Verdana"/>
          <w:sz w:val="18"/>
        </w:rPr>
        <w:t>75</w:t>
      </w:r>
      <w:r w:rsidRPr="005D0FF8">
        <w:rPr>
          <w:rFonts w:ascii="Verdana" w:hAnsi="Verdana"/>
          <w:sz w:val="18"/>
        </w:rPr>
        <w:t>%,</w:t>
      </w:r>
      <w:r w:rsidR="00BF69D1">
        <w:rPr>
          <w:rFonts w:ascii="Verdana" w:hAnsi="Verdana"/>
          <w:sz w:val="18"/>
        </w:rPr>
        <w:t xml:space="preserve"> 50</w:t>
      </w:r>
      <w:r w:rsidRPr="005D0FF8">
        <w:rPr>
          <w:rFonts w:ascii="Verdana" w:hAnsi="Verdana"/>
          <w:sz w:val="18"/>
        </w:rPr>
        <w:t>% and 0% of F</w:t>
      </w:r>
      <w:r w:rsidR="00BF69D1">
        <w:rPr>
          <w:rFonts w:ascii="Verdana" w:hAnsi="Verdana"/>
          <w:sz w:val="18"/>
          <w:vertAlign w:val="subscript"/>
        </w:rPr>
        <w:t>2013</w:t>
      </w:r>
      <w:r w:rsidR="004D0958">
        <w:rPr>
          <w:rFonts w:ascii="Verdana" w:hAnsi="Verdana"/>
          <w:sz w:val="18"/>
        </w:rPr>
        <w:t xml:space="preserve"> </w:t>
      </w:r>
      <w:r w:rsidR="00C625E1">
        <w:rPr>
          <w:rFonts w:ascii="Verdana" w:hAnsi="Verdana"/>
          <w:sz w:val="18"/>
        </w:rPr>
        <w:t>= 0.</w:t>
      </w:r>
      <w:r w:rsidR="00BF69D1">
        <w:rPr>
          <w:rFonts w:ascii="Verdana" w:hAnsi="Verdana"/>
          <w:sz w:val="18"/>
        </w:rPr>
        <w:t>15</w:t>
      </w:r>
      <w:r w:rsidRPr="005D0FF8">
        <w:rPr>
          <w:rFonts w:ascii="Verdana" w:hAnsi="Verdana"/>
          <w:sz w:val="18"/>
        </w:rPr>
        <w:t>.</w:t>
      </w:r>
      <w:r w:rsidR="004D0958">
        <w:rPr>
          <w:rFonts w:ascii="Verdana" w:hAnsi="Verdana"/>
          <w:sz w:val="18"/>
        </w:rPr>
        <w:t xml:space="preserve"> </w:t>
      </w:r>
      <w:r w:rsidR="00C625E1">
        <w:rPr>
          <w:rFonts w:ascii="Verdana" w:hAnsi="Verdana"/>
          <w:sz w:val="18"/>
        </w:rPr>
        <w:t xml:space="preserve">Advice is based on </w:t>
      </w:r>
      <w:r w:rsidR="00BF69D1">
        <w:rPr>
          <w:rFonts w:ascii="Verdana" w:hAnsi="Verdana"/>
          <w:sz w:val="18"/>
        </w:rPr>
        <w:t xml:space="preserve">maintaining the </w:t>
      </w:r>
      <w:r w:rsidR="00BF69D1" w:rsidRPr="00BF69D1">
        <w:rPr>
          <w:rFonts w:ascii="Verdana" w:hAnsi="Verdana"/>
          <w:sz w:val="18"/>
        </w:rPr>
        <w:t xml:space="preserve">likelihood </w:t>
      </w:r>
      <w:r w:rsidR="00BF69D1">
        <w:rPr>
          <w:rFonts w:ascii="Verdana" w:hAnsi="Verdana"/>
          <w:sz w:val="18"/>
        </w:rPr>
        <w:t>of</w:t>
      </w:r>
      <w:r w:rsidR="00BF69D1" w:rsidRPr="00BF69D1">
        <w:rPr>
          <w:rFonts w:ascii="Verdana" w:hAnsi="Verdana"/>
          <w:sz w:val="18"/>
        </w:rPr>
        <w:t xml:space="preserve"> spawning biomass </w:t>
      </w:r>
      <w:r w:rsidR="00BF69D1">
        <w:rPr>
          <w:rFonts w:ascii="Verdana" w:hAnsi="Verdana"/>
          <w:sz w:val="18"/>
        </w:rPr>
        <w:t>to increase</w:t>
      </w:r>
      <w:r w:rsidR="00C625E1">
        <w:rPr>
          <w:rFonts w:ascii="Verdana" w:hAnsi="Verdana"/>
          <w:sz w:val="18"/>
        </w:rPr>
        <w:t>.</w:t>
      </w:r>
    </w:p>
    <w:p w:rsidR="004F1C69" w:rsidRPr="004F1C69" w:rsidRDefault="004F1C69" w:rsidP="000531CD">
      <w:pPr>
        <w:rPr>
          <w:rFonts w:ascii="Verdana" w:hAnsi="Verdana"/>
          <w:sz w:val="16"/>
        </w:rPr>
      </w:pPr>
      <w:r w:rsidRPr="004F1C69">
        <w:rPr>
          <w:rFonts w:ascii="Verdana" w:hAnsi="Verdana"/>
          <w:sz w:val="16"/>
        </w:rPr>
        <w:t xml:space="preserve">Table 1: Summary results for the near term predictions. Note that “B” in all cases represents thousands of t of spawning stock biomass and </w:t>
      </w:r>
      <w:proofErr w:type="spellStart"/>
      <w:r w:rsidRPr="004F1C69">
        <w:rPr>
          <w:rFonts w:ascii="Verdana" w:hAnsi="Verdana"/>
          <w:sz w:val="16"/>
        </w:rPr>
        <w:t>Bmsy</w:t>
      </w:r>
      <w:proofErr w:type="spellEnd"/>
      <w:r w:rsidRPr="004F1C69">
        <w:rPr>
          <w:rFonts w:ascii="Verdana" w:hAnsi="Verdana"/>
          <w:sz w:val="16"/>
        </w:rPr>
        <w:t xml:space="preserve"> is taken to be 5.5 million t of spawning biomass in all cases.</w:t>
      </w:r>
      <w:r w:rsidRPr="004F1C69">
        <w:rPr>
          <w:rFonts w:ascii="Verdana" w:hAnsi="Verdana"/>
          <w:sz w:val="16"/>
        </w:rPr>
        <w:tab/>
      </w:r>
    </w:p>
    <w:tbl>
      <w:tblPr>
        <w:tblW w:w="4937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89"/>
        <w:gridCol w:w="121"/>
        <w:gridCol w:w="685"/>
        <w:gridCol w:w="465"/>
        <w:gridCol w:w="18"/>
        <w:gridCol w:w="1120"/>
        <w:gridCol w:w="125"/>
        <w:gridCol w:w="47"/>
        <w:gridCol w:w="638"/>
        <w:gridCol w:w="653"/>
        <w:gridCol w:w="951"/>
        <w:gridCol w:w="320"/>
        <w:gridCol w:w="20"/>
        <w:gridCol w:w="608"/>
        <w:gridCol w:w="633"/>
        <w:gridCol w:w="51"/>
        <w:gridCol w:w="1299"/>
      </w:tblGrid>
      <w:tr w:rsidR="004F1C69" w:rsidRPr="004F1C69" w:rsidTr="00101AF3">
        <w:trPr>
          <w:cantSplit/>
        </w:trPr>
        <w:tc>
          <w:tcPr>
            <w:tcW w:w="3379" w:type="pct"/>
            <w:gridSpan w:val="11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4F1C69">
            <w:pPr>
              <w:keepNext/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Recruitment s</w:t>
            </w:r>
            <w:r w:rsidRPr="004F1C69">
              <w:rPr>
                <w:rFonts w:ascii="Verdana" w:hAnsi="Verdana"/>
                <w:b/>
                <w:sz w:val="18"/>
                <w:szCs w:val="18"/>
              </w:rPr>
              <w:t>teepness=0.8, recruitment from 2000-2011</w:t>
            </w:r>
          </w:p>
        </w:tc>
        <w:tc>
          <w:tcPr>
            <w:tcW w:w="524" w:type="pct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1C69" w:rsidRPr="004F1C69" w:rsidTr="00101AF3">
        <w:trPr>
          <w:cantSplit/>
        </w:trPr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 xml:space="preserve">Multiplier of </w:t>
            </w:r>
            <w:r w:rsidRPr="004F1C69">
              <w:rPr>
                <w:rFonts w:ascii="Verdana" w:hAnsi="Verdana"/>
                <w:sz w:val="18"/>
                <w:szCs w:val="18"/>
              </w:rPr>
              <w:br/>
              <w:t>F</w:t>
            </w:r>
            <w:r w:rsidRPr="004F1C69">
              <w:rPr>
                <w:rFonts w:ascii="Verdana" w:hAnsi="Verdana"/>
                <w:sz w:val="18"/>
                <w:szCs w:val="18"/>
                <w:vertAlign w:val="subscript"/>
              </w:rPr>
              <w:t>2013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B</w:t>
            </w:r>
            <w:r w:rsidRPr="004F1C69">
              <w:rPr>
                <w:rFonts w:ascii="Verdana" w:hAnsi="Verdana"/>
                <w:sz w:val="18"/>
                <w:szCs w:val="18"/>
                <w:vertAlign w:val="subscript"/>
              </w:rPr>
              <w:t>2015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P(B</w:t>
            </w:r>
            <w:r w:rsidRPr="004F1C69">
              <w:rPr>
                <w:rFonts w:ascii="Verdana" w:hAnsi="Verdana"/>
                <w:sz w:val="18"/>
                <w:szCs w:val="18"/>
                <w:vertAlign w:val="subscript"/>
              </w:rPr>
              <w:t>2015</w:t>
            </w:r>
            <w:r w:rsidRPr="004F1C69">
              <w:rPr>
                <w:rFonts w:ascii="Verdana" w:hAnsi="Verdana"/>
                <w:sz w:val="18"/>
                <w:szCs w:val="18"/>
              </w:rPr>
              <w:t xml:space="preserve"> &gt; </w:t>
            </w:r>
            <w:proofErr w:type="spellStart"/>
            <w:r w:rsidRPr="004F1C69">
              <w:rPr>
                <w:rFonts w:ascii="Verdana" w:hAnsi="Verdana"/>
                <w:i/>
                <w:sz w:val="18"/>
                <w:szCs w:val="18"/>
              </w:rPr>
              <w:t>B</w:t>
            </w:r>
            <w:r w:rsidRPr="004F1C69">
              <w:rPr>
                <w:rFonts w:ascii="Verdana" w:hAnsi="Verdana"/>
                <w:i/>
                <w:sz w:val="18"/>
                <w:szCs w:val="18"/>
                <w:vertAlign w:val="subscript"/>
              </w:rPr>
              <w:t>msy</w:t>
            </w:r>
            <w:proofErr w:type="spellEnd"/>
            <w:r w:rsidRPr="004F1C6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 xml:space="preserve">Catch </w:t>
            </w:r>
            <w:r w:rsidRPr="004F1C69">
              <w:rPr>
                <w:rFonts w:ascii="Verdana" w:hAnsi="Verdana"/>
                <w:sz w:val="18"/>
                <w:szCs w:val="18"/>
              </w:rPr>
              <w:br/>
              <w:t>2014 (</w:t>
            </w:r>
            <w:proofErr w:type="spellStart"/>
            <w:r w:rsidRPr="004F1C69">
              <w:rPr>
                <w:rFonts w:ascii="Verdana" w:hAnsi="Verdana"/>
                <w:sz w:val="18"/>
                <w:szCs w:val="18"/>
              </w:rPr>
              <w:t>kt</w:t>
            </w:r>
            <w:proofErr w:type="spellEnd"/>
            <w:r w:rsidRPr="004F1C6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 xml:space="preserve">Catch </w:t>
            </w:r>
            <w:r w:rsidRPr="004F1C69">
              <w:rPr>
                <w:rFonts w:ascii="Verdana" w:hAnsi="Verdana"/>
                <w:sz w:val="18"/>
                <w:szCs w:val="18"/>
              </w:rPr>
              <w:br/>
              <w:t>2015 (</w:t>
            </w:r>
            <w:proofErr w:type="spellStart"/>
            <w:r w:rsidRPr="004F1C69">
              <w:rPr>
                <w:rFonts w:ascii="Verdana" w:hAnsi="Verdana"/>
                <w:sz w:val="18"/>
                <w:szCs w:val="18"/>
              </w:rPr>
              <w:t>kt</w:t>
            </w:r>
            <w:proofErr w:type="spellEnd"/>
            <w:r w:rsidRPr="004F1C6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F1C69" w:rsidRPr="004F1C69" w:rsidTr="00101AF3">
        <w:trPr>
          <w:cantSplit/>
        </w:trPr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3,845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4F1C69" w:rsidRPr="004F1C69" w:rsidTr="00101AF3">
        <w:trPr>
          <w:cantSplit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0.50</w:t>
            </w:r>
          </w:p>
        </w:tc>
        <w:tc>
          <w:tcPr>
            <w:tcW w:w="7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3,480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270</w:t>
            </w:r>
          </w:p>
        </w:tc>
      </w:tr>
      <w:tr w:rsidR="004F1C69" w:rsidRPr="004F1C69" w:rsidTr="00101AF3">
        <w:trPr>
          <w:cantSplit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0.75</w:t>
            </w:r>
          </w:p>
        </w:tc>
        <w:tc>
          <w:tcPr>
            <w:tcW w:w="7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3,316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340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380</w:t>
            </w:r>
          </w:p>
        </w:tc>
      </w:tr>
      <w:tr w:rsidR="004F1C69" w:rsidRPr="004F1C69" w:rsidTr="00101AF3">
        <w:trPr>
          <w:cantSplit/>
        </w:trPr>
        <w:tc>
          <w:tcPr>
            <w:tcW w:w="7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1.00</w:t>
            </w:r>
          </w:p>
        </w:tc>
        <w:tc>
          <w:tcPr>
            <w:tcW w:w="71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3,163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440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490</w:t>
            </w:r>
          </w:p>
        </w:tc>
      </w:tr>
      <w:tr w:rsidR="004F1C69" w:rsidRPr="004F1C69" w:rsidTr="00101AF3">
        <w:trPr>
          <w:cantSplit/>
        </w:trPr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1.25</w:t>
            </w:r>
          </w:p>
        </w:tc>
        <w:tc>
          <w:tcPr>
            <w:tcW w:w="7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3,020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69" w:rsidRPr="004F1C69" w:rsidRDefault="004F1C69" w:rsidP="00573E80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69" w:rsidRPr="004F1C69" w:rsidRDefault="004F1C69" w:rsidP="00573E80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69" w:rsidRPr="004F1C69" w:rsidRDefault="004F1C69" w:rsidP="00573E80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69" w:rsidRPr="004F1C69" w:rsidRDefault="004F1C69" w:rsidP="00573E80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540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69" w:rsidRPr="004F1C69" w:rsidRDefault="004F1C69" w:rsidP="00573E80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580</w:t>
            </w: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01AF3" w:rsidRPr="004F1C69" w:rsidTr="00101AF3">
        <w:trPr>
          <w:cantSplit/>
        </w:trPr>
        <w:tc>
          <w:tcPr>
            <w:tcW w:w="3557" w:type="pct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101AF3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Recruitment steepness </w:t>
            </w:r>
            <w:r w:rsidRPr="004F1C69">
              <w:rPr>
                <w:rFonts w:ascii="Verdana" w:hAnsi="Verdana"/>
                <w:b/>
                <w:sz w:val="18"/>
                <w:szCs w:val="18"/>
              </w:rPr>
              <w:t>=0.65, recruitment from 2000-</w:t>
            </w:r>
            <w:r w:rsidR="00101AF3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4F1C69">
              <w:rPr>
                <w:rFonts w:ascii="Verdana" w:hAnsi="Verdana"/>
                <w:b/>
                <w:sz w:val="18"/>
                <w:szCs w:val="18"/>
              </w:rPr>
              <w:t>011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 xml:space="preserve">Multiplier of </w:t>
            </w:r>
            <w:r w:rsidRPr="004F1C69">
              <w:rPr>
                <w:rFonts w:ascii="Verdana" w:hAnsi="Verdana"/>
                <w:sz w:val="18"/>
                <w:szCs w:val="18"/>
              </w:rPr>
              <w:br/>
              <w:t>F</w:t>
            </w:r>
            <w:r w:rsidRPr="004F1C69">
              <w:rPr>
                <w:rFonts w:ascii="Verdana" w:hAnsi="Verdana"/>
                <w:sz w:val="18"/>
                <w:szCs w:val="18"/>
                <w:vertAlign w:val="subscript"/>
              </w:rPr>
              <w:t>2013</w:t>
            </w:r>
          </w:p>
        </w:tc>
        <w:tc>
          <w:tcPr>
            <w:tcW w:w="636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B</w:t>
            </w:r>
            <w:r w:rsidRPr="004F1C69">
              <w:rPr>
                <w:rFonts w:ascii="Verdana" w:hAnsi="Verdana"/>
                <w:sz w:val="18"/>
                <w:szCs w:val="18"/>
                <w:vertAlign w:val="subscript"/>
              </w:rPr>
              <w:t>2015</w:t>
            </w:r>
          </w:p>
        </w:tc>
        <w:tc>
          <w:tcPr>
            <w:tcW w:w="698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P(B</w:t>
            </w:r>
            <w:r w:rsidRPr="004F1C69">
              <w:rPr>
                <w:rFonts w:ascii="Verdana" w:hAnsi="Verdana"/>
                <w:sz w:val="18"/>
                <w:szCs w:val="18"/>
                <w:vertAlign w:val="subscript"/>
              </w:rPr>
              <w:t>2015</w:t>
            </w:r>
            <w:r w:rsidRPr="004F1C69">
              <w:rPr>
                <w:rFonts w:ascii="Verdana" w:hAnsi="Verdana"/>
                <w:sz w:val="18"/>
                <w:szCs w:val="18"/>
              </w:rPr>
              <w:t xml:space="preserve"> &gt; </w:t>
            </w:r>
            <w:proofErr w:type="spellStart"/>
            <w:r w:rsidRPr="004F1C69">
              <w:rPr>
                <w:rFonts w:ascii="Verdana" w:hAnsi="Verdana"/>
                <w:i/>
                <w:sz w:val="18"/>
                <w:szCs w:val="18"/>
              </w:rPr>
              <w:t>B</w:t>
            </w:r>
            <w:r w:rsidRPr="004F1C69">
              <w:rPr>
                <w:rFonts w:ascii="Verdana" w:hAnsi="Verdana"/>
                <w:i/>
                <w:sz w:val="18"/>
                <w:szCs w:val="18"/>
                <w:vertAlign w:val="subscript"/>
              </w:rPr>
              <w:t>msy</w:t>
            </w:r>
            <w:proofErr w:type="spellEnd"/>
            <w:r w:rsidRPr="004F1C6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79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 xml:space="preserve">Catch </w:t>
            </w:r>
            <w:r w:rsidRPr="004F1C69">
              <w:rPr>
                <w:rFonts w:ascii="Verdana" w:hAnsi="Verdana"/>
                <w:sz w:val="18"/>
                <w:szCs w:val="18"/>
              </w:rPr>
              <w:br/>
              <w:t>2014 (</w:t>
            </w:r>
            <w:proofErr w:type="spellStart"/>
            <w:r w:rsidRPr="004F1C69">
              <w:rPr>
                <w:rFonts w:ascii="Verdana" w:hAnsi="Verdana"/>
                <w:sz w:val="18"/>
                <w:szCs w:val="18"/>
              </w:rPr>
              <w:t>kt</w:t>
            </w:r>
            <w:proofErr w:type="spellEnd"/>
            <w:r w:rsidRPr="004F1C6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46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 xml:space="preserve">Catch </w:t>
            </w:r>
            <w:r w:rsidRPr="004F1C69">
              <w:rPr>
                <w:rFonts w:ascii="Verdana" w:hAnsi="Verdana"/>
                <w:sz w:val="18"/>
                <w:szCs w:val="18"/>
              </w:rPr>
              <w:br/>
              <w:t>2015 (</w:t>
            </w:r>
            <w:proofErr w:type="spellStart"/>
            <w:r w:rsidRPr="004F1C69">
              <w:rPr>
                <w:rFonts w:ascii="Verdana" w:hAnsi="Verdana"/>
                <w:sz w:val="18"/>
                <w:szCs w:val="18"/>
              </w:rPr>
              <w:t>kt</w:t>
            </w:r>
            <w:proofErr w:type="spellEnd"/>
            <w:r w:rsidRPr="004F1C69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3,802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0.50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3,438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270</w:t>
            </w: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0.75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3,274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340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380</w:t>
            </w: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1.00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3,122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440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490</w:t>
            </w:r>
          </w:p>
        </w:tc>
      </w:tr>
      <w:tr w:rsidR="004F1C69" w:rsidRPr="004F1C69" w:rsidTr="00101AF3">
        <w:trPr>
          <w:cantSplit/>
        </w:trPr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1.25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2,980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0%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540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C69" w:rsidRPr="004F1C69" w:rsidRDefault="004F1C69" w:rsidP="00573E80">
            <w:pPr>
              <w:keepNext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4F1C69">
              <w:rPr>
                <w:rFonts w:ascii="Verdana" w:hAnsi="Verdana"/>
                <w:sz w:val="18"/>
                <w:szCs w:val="18"/>
              </w:rPr>
              <w:t>580</w:t>
            </w:r>
          </w:p>
        </w:tc>
      </w:tr>
    </w:tbl>
    <w:p w:rsidR="00101AF3" w:rsidRDefault="00101AF3" w:rsidP="00D16DA5">
      <w:pPr>
        <w:pStyle w:val="Heading2"/>
        <w:rPr>
          <w:rFonts w:ascii="Verdana" w:hAnsi="Verdana"/>
          <w:sz w:val="20"/>
        </w:rPr>
      </w:pPr>
    </w:p>
    <w:p w:rsidR="00101AF3" w:rsidRPr="004F1C69" w:rsidRDefault="00101AF3" w:rsidP="00101AF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Table 2</w:t>
      </w:r>
      <w:r w:rsidRPr="004F1C69">
        <w:rPr>
          <w:rFonts w:ascii="Verdana" w:hAnsi="Verdana"/>
          <w:sz w:val="16"/>
        </w:rPr>
        <w:t xml:space="preserve">: </w:t>
      </w:r>
      <w:r>
        <w:rPr>
          <w:rFonts w:ascii="Verdana" w:hAnsi="Verdana"/>
          <w:sz w:val="16"/>
        </w:rPr>
        <w:t>Advised and reported catch of Jack Mackerel in the South Pacific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211"/>
        <w:gridCol w:w="1665"/>
        <w:gridCol w:w="344"/>
        <w:gridCol w:w="4880"/>
      </w:tblGrid>
      <w:tr w:rsidR="00101AF3" w:rsidRPr="00AA4FD3" w:rsidTr="00AA4FD3">
        <w:tc>
          <w:tcPr>
            <w:tcW w:w="10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Year</w:t>
            </w:r>
          </w:p>
        </w:tc>
        <w:tc>
          <w:tcPr>
            <w:tcW w:w="12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Advised catch</w:t>
            </w:r>
          </w:p>
        </w:tc>
        <w:tc>
          <w:tcPr>
            <w:tcW w:w="3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Reported catch</w:t>
            </w:r>
          </w:p>
        </w:tc>
      </w:tr>
      <w:tr w:rsidR="00101AF3" w:rsidRPr="00AA4FD3" w:rsidTr="00AA4FD3"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2008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NA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tcBorders>
              <w:top w:val="single" w:sz="4" w:space="0" w:color="auto"/>
            </w:tcBorders>
            <w:vAlign w:val="center"/>
          </w:tcPr>
          <w:p w:rsidR="00101AF3" w:rsidRPr="00AA4FD3" w:rsidRDefault="00101AF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  <w:r w:rsidRPr="00AA4FD3">
              <w:rPr>
                <w:rFonts w:ascii="Verdana" w:hAnsi="Verdana" w:cs="Arial"/>
                <w:sz w:val="18"/>
                <w:szCs w:val="14"/>
              </w:rPr>
              <w:t>1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471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122</w:t>
            </w:r>
          </w:p>
        </w:tc>
      </w:tr>
      <w:tr w:rsidR="00101AF3" w:rsidRPr="00AA4FD3" w:rsidTr="00AA4FD3">
        <w:tc>
          <w:tcPr>
            <w:tcW w:w="1008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2009</w:t>
            </w:r>
          </w:p>
        </w:tc>
        <w:tc>
          <w:tcPr>
            <w:tcW w:w="1211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NA</w:t>
            </w:r>
          </w:p>
        </w:tc>
        <w:tc>
          <w:tcPr>
            <w:tcW w:w="344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vAlign w:val="center"/>
          </w:tcPr>
          <w:p w:rsidR="00101AF3" w:rsidRPr="00AA4FD3" w:rsidRDefault="00101AF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  <w:r w:rsidRPr="00AA4FD3">
              <w:rPr>
                <w:rFonts w:ascii="Verdana" w:hAnsi="Verdana" w:cs="Arial"/>
                <w:sz w:val="18"/>
                <w:szCs w:val="14"/>
              </w:rPr>
              <w:t>1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283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474</w:t>
            </w:r>
          </w:p>
        </w:tc>
      </w:tr>
      <w:tr w:rsidR="00101AF3" w:rsidRPr="00AA4FD3" w:rsidTr="00AA4FD3">
        <w:tc>
          <w:tcPr>
            <w:tcW w:w="1008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2010</w:t>
            </w:r>
          </w:p>
        </w:tc>
        <w:tc>
          <w:tcPr>
            <w:tcW w:w="1211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344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vAlign w:val="center"/>
          </w:tcPr>
          <w:p w:rsidR="00101AF3" w:rsidRPr="00AA4FD3" w:rsidRDefault="00101AF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  <w:r w:rsidRPr="00AA4FD3">
              <w:rPr>
                <w:rFonts w:ascii="Verdana" w:hAnsi="Verdana" w:cs="Arial"/>
                <w:sz w:val="18"/>
                <w:szCs w:val="14"/>
              </w:rPr>
              <w:t>726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708</w:t>
            </w:r>
          </w:p>
        </w:tc>
      </w:tr>
      <w:tr w:rsidR="00101AF3" w:rsidRPr="00AA4FD3" w:rsidTr="00AA4FD3">
        <w:tc>
          <w:tcPr>
            <w:tcW w:w="1008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2011</w:t>
            </w:r>
          </w:p>
        </w:tc>
        <w:tc>
          <w:tcPr>
            <w:tcW w:w="1211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344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vAlign w:val="center"/>
          </w:tcPr>
          <w:p w:rsidR="00101AF3" w:rsidRPr="00AA4FD3" w:rsidRDefault="00101AF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  <w:r w:rsidRPr="00AA4FD3">
              <w:rPr>
                <w:rFonts w:ascii="Verdana" w:hAnsi="Verdana" w:cs="Arial"/>
                <w:sz w:val="18"/>
                <w:szCs w:val="14"/>
              </w:rPr>
              <w:t>605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817</w:t>
            </w:r>
          </w:p>
        </w:tc>
      </w:tr>
      <w:tr w:rsidR="00101AF3" w:rsidRPr="00AA4FD3" w:rsidTr="00AA4FD3">
        <w:tc>
          <w:tcPr>
            <w:tcW w:w="1008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2012</w:t>
            </w:r>
          </w:p>
        </w:tc>
        <w:tc>
          <w:tcPr>
            <w:tcW w:w="1211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344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vAlign w:val="center"/>
          </w:tcPr>
          <w:p w:rsidR="00101AF3" w:rsidRPr="00AA4FD3" w:rsidRDefault="00101AF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  <w:r w:rsidRPr="00AA4FD3">
              <w:rPr>
                <w:rFonts w:ascii="Verdana" w:hAnsi="Verdana" w:cs="Arial"/>
                <w:sz w:val="18"/>
                <w:szCs w:val="14"/>
              </w:rPr>
              <w:t>417</w:t>
            </w:r>
            <w:r w:rsidR="00AA4FD3">
              <w:rPr>
                <w:rFonts w:ascii="Verdana" w:hAnsi="Verdana" w:cs="Arial"/>
                <w:sz w:val="18"/>
                <w:szCs w:val="14"/>
              </w:rPr>
              <w:t>,</w:t>
            </w:r>
            <w:r w:rsidRPr="00AA4FD3">
              <w:rPr>
                <w:rFonts w:ascii="Verdana" w:hAnsi="Verdana" w:cs="Arial"/>
                <w:sz w:val="18"/>
                <w:szCs w:val="14"/>
              </w:rPr>
              <w:t>317</w:t>
            </w:r>
          </w:p>
        </w:tc>
      </w:tr>
      <w:tr w:rsidR="00101AF3" w:rsidRPr="00AA4FD3" w:rsidTr="00AA4FD3">
        <w:tc>
          <w:tcPr>
            <w:tcW w:w="1008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2013</w:t>
            </w:r>
          </w:p>
        </w:tc>
        <w:tc>
          <w:tcPr>
            <w:tcW w:w="1211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 w:rsidRPr="00AA4FD3">
              <w:rPr>
                <w:rFonts w:ascii="Verdana" w:hAnsi="Verdana"/>
                <w:sz w:val="18"/>
                <w:szCs w:val="14"/>
              </w:rPr>
              <w:t>441</w:t>
            </w:r>
            <w:r w:rsidR="00AA4FD3">
              <w:rPr>
                <w:rFonts w:ascii="Verdana" w:hAnsi="Verdana"/>
                <w:sz w:val="18"/>
                <w:szCs w:val="14"/>
              </w:rPr>
              <w:t>,</w:t>
            </w:r>
            <w:r w:rsidRPr="00AA4FD3">
              <w:rPr>
                <w:rFonts w:ascii="Verdana" w:hAnsi="Verdana"/>
                <w:sz w:val="18"/>
                <w:szCs w:val="14"/>
              </w:rPr>
              <w:t>000</w:t>
            </w:r>
          </w:p>
        </w:tc>
        <w:tc>
          <w:tcPr>
            <w:tcW w:w="344" w:type="dxa"/>
            <w:vAlign w:val="center"/>
          </w:tcPr>
          <w:p w:rsidR="00101AF3" w:rsidRPr="00AA4FD3" w:rsidRDefault="00101AF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vAlign w:val="center"/>
          </w:tcPr>
          <w:p w:rsidR="00101AF3" w:rsidRPr="00AA4FD3" w:rsidRDefault="00101AF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</w:p>
        </w:tc>
      </w:tr>
      <w:tr w:rsidR="00AA4FD3" w:rsidRPr="00AA4FD3" w:rsidTr="00AA4FD3"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A4FD3" w:rsidRPr="00AA4FD3" w:rsidRDefault="00AA4FD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2014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AA4FD3" w:rsidRPr="00AA4FD3" w:rsidRDefault="00AA4FD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AA4FD3" w:rsidRPr="00AA4FD3" w:rsidRDefault="00AA4FD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440,000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AA4FD3" w:rsidRPr="00AA4FD3" w:rsidRDefault="00AA4FD3" w:rsidP="00AA4FD3">
            <w:pPr>
              <w:jc w:val="right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AA4FD3" w:rsidRPr="00AA4FD3" w:rsidRDefault="00AA4FD3" w:rsidP="00AA4FD3">
            <w:pPr>
              <w:contextualSpacing/>
              <w:jc w:val="right"/>
              <w:rPr>
                <w:rFonts w:ascii="Verdana" w:hAnsi="Verdana" w:cs="Arial"/>
                <w:sz w:val="18"/>
                <w:szCs w:val="14"/>
              </w:rPr>
            </w:pPr>
          </w:p>
        </w:tc>
      </w:tr>
    </w:tbl>
    <w:p w:rsidR="008E16FE" w:rsidRPr="00D16DA5" w:rsidRDefault="008E16FE" w:rsidP="00D16DA5">
      <w:bookmarkStart w:id="0" w:name="_GoBack"/>
      <w:bookmarkEnd w:id="0"/>
    </w:p>
    <w:p w:rsidR="003A57E1" w:rsidRPr="003A57E1" w:rsidRDefault="003A57E1" w:rsidP="00301E18">
      <w:pPr>
        <w:rPr>
          <w:rFonts w:ascii="Verdana" w:hAnsi="Verdana"/>
          <w:sz w:val="16"/>
        </w:rPr>
      </w:pPr>
    </w:p>
    <w:sectPr w:rsidR="003A57E1" w:rsidRPr="003A57E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6E"/>
    <w:rsid w:val="000531CD"/>
    <w:rsid w:val="00101AF3"/>
    <w:rsid w:val="001736A4"/>
    <w:rsid w:val="001A215E"/>
    <w:rsid w:val="0028087B"/>
    <w:rsid w:val="00301E18"/>
    <w:rsid w:val="003A57E1"/>
    <w:rsid w:val="0043589E"/>
    <w:rsid w:val="004362BC"/>
    <w:rsid w:val="004C6171"/>
    <w:rsid w:val="004D0958"/>
    <w:rsid w:val="004F1C69"/>
    <w:rsid w:val="005D0FF8"/>
    <w:rsid w:val="00614F23"/>
    <w:rsid w:val="0069185D"/>
    <w:rsid w:val="008C31F7"/>
    <w:rsid w:val="008E16FE"/>
    <w:rsid w:val="0090060D"/>
    <w:rsid w:val="0091761C"/>
    <w:rsid w:val="00937F4A"/>
    <w:rsid w:val="009A5103"/>
    <w:rsid w:val="00A15960"/>
    <w:rsid w:val="00AA4FD3"/>
    <w:rsid w:val="00AA53EE"/>
    <w:rsid w:val="00B73275"/>
    <w:rsid w:val="00BF69D1"/>
    <w:rsid w:val="00C625E1"/>
    <w:rsid w:val="00CB549B"/>
    <w:rsid w:val="00D16DA5"/>
    <w:rsid w:val="00D3626E"/>
    <w:rsid w:val="00D81F50"/>
    <w:rsid w:val="00F55B02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18"/>
  </w:style>
  <w:style w:type="paragraph" w:styleId="Heading1">
    <w:name w:val="heading 1"/>
    <w:basedOn w:val="Normal"/>
    <w:next w:val="Normal"/>
    <w:link w:val="Heading1Char"/>
    <w:uiPriority w:val="9"/>
    <w:qFormat/>
    <w:rsid w:val="00301E1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E1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E1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E1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E1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E1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E1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E1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E1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1E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1E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1E1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E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E1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E1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E1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E1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E1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01E18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301E1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E1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E1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1E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1E18"/>
    <w:rPr>
      <w:b/>
      <w:bCs/>
    </w:rPr>
  </w:style>
  <w:style w:type="character" w:styleId="Emphasis">
    <w:name w:val="Emphasis"/>
    <w:uiPriority w:val="20"/>
    <w:qFormat/>
    <w:rsid w:val="00301E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01E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1E18"/>
  </w:style>
  <w:style w:type="paragraph" w:styleId="ListParagraph">
    <w:name w:val="List Paragraph"/>
    <w:basedOn w:val="Normal"/>
    <w:uiPriority w:val="34"/>
    <w:qFormat/>
    <w:rsid w:val="00301E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1E1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1E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E1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E18"/>
    <w:rPr>
      <w:b/>
      <w:bCs/>
      <w:i/>
      <w:iCs/>
    </w:rPr>
  </w:style>
  <w:style w:type="character" w:styleId="SubtleEmphasis">
    <w:name w:val="Subtle Emphasis"/>
    <w:uiPriority w:val="19"/>
    <w:qFormat/>
    <w:rsid w:val="00301E18"/>
    <w:rPr>
      <w:i/>
      <w:iCs/>
    </w:rPr>
  </w:style>
  <w:style w:type="character" w:styleId="IntenseEmphasis">
    <w:name w:val="Intense Emphasis"/>
    <w:uiPriority w:val="21"/>
    <w:qFormat/>
    <w:rsid w:val="00301E18"/>
    <w:rPr>
      <w:b/>
      <w:bCs/>
    </w:rPr>
  </w:style>
  <w:style w:type="character" w:styleId="SubtleReference">
    <w:name w:val="Subtle Reference"/>
    <w:uiPriority w:val="31"/>
    <w:qFormat/>
    <w:rsid w:val="00301E18"/>
    <w:rPr>
      <w:smallCaps/>
    </w:rPr>
  </w:style>
  <w:style w:type="character" w:styleId="IntenseReference">
    <w:name w:val="Intense Reference"/>
    <w:uiPriority w:val="32"/>
    <w:qFormat/>
    <w:rsid w:val="00301E18"/>
    <w:rPr>
      <w:smallCaps/>
      <w:spacing w:val="5"/>
      <w:u w:val="single"/>
    </w:rPr>
  </w:style>
  <w:style w:type="character" w:styleId="BookTitle">
    <w:name w:val="Book Title"/>
    <w:uiPriority w:val="33"/>
    <w:qFormat/>
    <w:rsid w:val="00301E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E1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01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81F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">
    <w:name w:val="Grid"/>
    <w:basedOn w:val="TableNormal"/>
    <w:rsid w:val="000531CD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figcaption">
    <w:name w:val="figcaption"/>
    <w:basedOn w:val="Normal"/>
    <w:autoRedefine/>
    <w:qFormat/>
    <w:rsid w:val="005D0FF8"/>
    <w:pPr>
      <w:keepLines/>
      <w:tabs>
        <w:tab w:val="left" w:pos="0"/>
      </w:tabs>
      <w:spacing w:after="240" w:line="240" w:lineRule="auto"/>
      <w:outlineLvl w:val="4"/>
    </w:pPr>
    <w:rPr>
      <w:rFonts w:ascii="Verdana" w:eastAsia="Calibri" w:hAnsi="Verdana" w:cs="Arial"/>
      <w:sz w:val="16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18"/>
  </w:style>
  <w:style w:type="paragraph" w:styleId="Heading1">
    <w:name w:val="heading 1"/>
    <w:basedOn w:val="Normal"/>
    <w:next w:val="Normal"/>
    <w:link w:val="Heading1Char"/>
    <w:uiPriority w:val="9"/>
    <w:qFormat/>
    <w:rsid w:val="00301E1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E1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E1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E1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E1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E1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E1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E1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E1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1E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1E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1E1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E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E1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E1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E1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E1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E1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01E18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301E1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E1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E1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1E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1E18"/>
    <w:rPr>
      <w:b/>
      <w:bCs/>
    </w:rPr>
  </w:style>
  <w:style w:type="character" w:styleId="Emphasis">
    <w:name w:val="Emphasis"/>
    <w:uiPriority w:val="20"/>
    <w:qFormat/>
    <w:rsid w:val="00301E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01E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1E18"/>
  </w:style>
  <w:style w:type="paragraph" w:styleId="ListParagraph">
    <w:name w:val="List Paragraph"/>
    <w:basedOn w:val="Normal"/>
    <w:uiPriority w:val="34"/>
    <w:qFormat/>
    <w:rsid w:val="00301E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1E1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1E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E1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E18"/>
    <w:rPr>
      <w:b/>
      <w:bCs/>
      <w:i/>
      <w:iCs/>
    </w:rPr>
  </w:style>
  <w:style w:type="character" w:styleId="SubtleEmphasis">
    <w:name w:val="Subtle Emphasis"/>
    <w:uiPriority w:val="19"/>
    <w:qFormat/>
    <w:rsid w:val="00301E18"/>
    <w:rPr>
      <w:i/>
      <w:iCs/>
    </w:rPr>
  </w:style>
  <w:style w:type="character" w:styleId="IntenseEmphasis">
    <w:name w:val="Intense Emphasis"/>
    <w:uiPriority w:val="21"/>
    <w:qFormat/>
    <w:rsid w:val="00301E18"/>
    <w:rPr>
      <w:b/>
      <w:bCs/>
    </w:rPr>
  </w:style>
  <w:style w:type="character" w:styleId="SubtleReference">
    <w:name w:val="Subtle Reference"/>
    <w:uiPriority w:val="31"/>
    <w:qFormat/>
    <w:rsid w:val="00301E18"/>
    <w:rPr>
      <w:smallCaps/>
    </w:rPr>
  </w:style>
  <w:style w:type="character" w:styleId="IntenseReference">
    <w:name w:val="Intense Reference"/>
    <w:uiPriority w:val="32"/>
    <w:qFormat/>
    <w:rsid w:val="00301E18"/>
    <w:rPr>
      <w:smallCaps/>
      <w:spacing w:val="5"/>
      <w:u w:val="single"/>
    </w:rPr>
  </w:style>
  <w:style w:type="character" w:styleId="BookTitle">
    <w:name w:val="Book Title"/>
    <w:uiPriority w:val="33"/>
    <w:qFormat/>
    <w:rsid w:val="00301E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E1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01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81F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">
    <w:name w:val="Grid"/>
    <w:basedOn w:val="TableNormal"/>
    <w:rsid w:val="000531CD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figcaption">
    <w:name w:val="figcaption"/>
    <w:basedOn w:val="Normal"/>
    <w:autoRedefine/>
    <w:qFormat/>
    <w:rsid w:val="005D0FF8"/>
    <w:pPr>
      <w:keepLines/>
      <w:tabs>
        <w:tab w:val="left" w:pos="0"/>
      </w:tabs>
      <w:spacing w:after="240" w:line="240" w:lineRule="auto"/>
      <w:outlineLvl w:val="4"/>
    </w:pPr>
    <w:rPr>
      <w:rFonts w:ascii="Verdana" w:eastAsia="Calibri" w:hAnsi="Verdana" w:cs="Arial"/>
      <w:sz w:val="16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Hintzen, Niels</dc:creator>
  <cp:lastModifiedBy>Hintzen, Niels</cp:lastModifiedBy>
  <cp:revision>10</cp:revision>
  <dcterms:created xsi:type="dcterms:W3CDTF">2013-09-09T14:13:00Z</dcterms:created>
  <dcterms:modified xsi:type="dcterms:W3CDTF">2013-10-27T05:04:00Z</dcterms:modified>
</cp:coreProperties>
</file>